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8985" w14:textId="42A653FA" w:rsidR="00210E74" w:rsidRDefault="008A4310" w:rsidP="00210E74">
      <w:pPr>
        <w:pStyle w:val="cover-date"/>
      </w:pPr>
      <w:r>
        <w:t xml:space="preserve">Updated </w:t>
      </w:r>
      <w:r w:rsidR="00912DC2">
        <w:t>April 2022</w:t>
      </w:r>
    </w:p>
    <w:p w14:paraId="0CD47D46" w14:textId="77777777" w:rsidR="00210E74" w:rsidRDefault="00210E74" w:rsidP="00210E74">
      <w:pPr>
        <w:pStyle w:val="cover-title"/>
        <w:rPr>
          <w:rFonts w:hint="eastAsia"/>
        </w:rPr>
      </w:pPr>
      <w:bookmarkStart w:id="0" w:name="_Toc491333989"/>
      <w:bookmarkStart w:id="1" w:name="_Toc494384130"/>
      <w:r>
        <w:t>Methodology for Producing Star Ratings for In-Center Hemodialysis CAHPS Survey Ratings and Composite Measures</w:t>
      </w:r>
      <w:bookmarkEnd w:id="0"/>
      <w:bookmarkEnd w:id="1"/>
    </w:p>
    <w:p w14:paraId="1B763876" w14:textId="3A3C6381" w:rsidR="00210E74" w:rsidRDefault="00210E74" w:rsidP="00912DC2">
      <w:pPr>
        <w:pStyle w:val="cover-text"/>
      </w:pPr>
      <w:r>
        <w:t>Prepared for</w:t>
      </w:r>
    </w:p>
    <w:p w14:paraId="2160D266" w14:textId="77777777" w:rsidR="00210E74" w:rsidRDefault="00210E74" w:rsidP="00210E74">
      <w:pPr>
        <w:pStyle w:val="cover-address"/>
      </w:pPr>
      <w:r>
        <w:t>Centers for Medicare &amp; Medicaid Services</w:t>
      </w:r>
    </w:p>
    <w:p w14:paraId="1A744A21" w14:textId="77777777" w:rsidR="00210E74" w:rsidRDefault="00210E74" w:rsidP="00210E74">
      <w:pPr>
        <w:pStyle w:val="cover-address"/>
      </w:pPr>
      <w:r>
        <w:t>Division of Consumer Assessment and Plan Performance</w:t>
      </w:r>
    </w:p>
    <w:p w14:paraId="7A4C9ADE" w14:textId="77777777" w:rsidR="00210E74" w:rsidRDefault="00210E74" w:rsidP="00210E74">
      <w:pPr>
        <w:pStyle w:val="cover-address"/>
      </w:pPr>
      <w:r>
        <w:t>7500 Security Boulevard</w:t>
      </w:r>
    </w:p>
    <w:p w14:paraId="67DE3068" w14:textId="77777777" w:rsidR="00210E74" w:rsidRDefault="00210E74" w:rsidP="00210E74">
      <w:pPr>
        <w:pStyle w:val="cover-address"/>
      </w:pPr>
      <w:r>
        <w:t>Baltimore, MD 21244-1850</w:t>
      </w:r>
    </w:p>
    <w:p w14:paraId="51F3E610" w14:textId="77777777" w:rsidR="00210E74" w:rsidRDefault="00210E74" w:rsidP="00210E74">
      <w:pPr>
        <w:pStyle w:val="cover-text"/>
      </w:pPr>
      <w:r>
        <w:t>Prepared by</w:t>
      </w:r>
    </w:p>
    <w:p w14:paraId="14CDDD51" w14:textId="77777777" w:rsidR="00210E74" w:rsidRPr="00912DC2" w:rsidRDefault="00210E74" w:rsidP="00210E74">
      <w:pPr>
        <w:pStyle w:val="cover-author"/>
      </w:pPr>
      <w:r w:rsidRPr="00912DC2">
        <w:t>Scott Scheffler, MS</w:t>
      </w:r>
    </w:p>
    <w:p w14:paraId="5654C324" w14:textId="77777777" w:rsidR="00210E74" w:rsidRDefault="00210E74" w:rsidP="00210E74">
      <w:pPr>
        <w:pStyle w:val="cover-author"/>
      </w:pPr>
      <w:r w:rsidRPr="00912DC2">
        <w:t>Kimberly Ault, PhD</w:t>
      </w:r>
    </w:p>
    <w:p w14:paraId="0CCF323E" w14:textId="77777777" w:rsidR="00210E74" w:rsidRDefault="00210E74" w:rsidP="00210E74">
      <w:pPr>
        <w:pStyle w:val="cover-author"/>
      </w:pPr>
      <w:r>
        <w:t>Celia Eicheldinger, MS</w:t>
      </w:r>
    </w:p>
    <w:p w14:paraId="03C73929" w14:textId="39C20E53" w:rsidR="00210E74" w:rsidRDefault="00210E74" w:rsidP="00210E74">
      <w:pPr>
        <w:pStyle w:val="cover-author"/>
      </w:pPr>
      <w:r>
        <w:t>Amy Hendershott, MA</w:t>
      </w:r>
    </w:p>
    <w:p w14:paraId="64AC6469" w14:textId="085F9437" w:rsidR="00912DC2" w:rsidRDefault="00912DC2" w:rsidP="00210E74">
      <w:pPr>
        <w:pStyle w:val="cover-author"/>
      </w:pPr>
      <w:r>
        <w:t>Amy Couzens, BS</w:t>
      </w:r>
    </w:p>
    <w:p w14:paraId="55C5AA4A" w14:textId="51EFB2D9" w:rsidR="00912DC2" w:rsidRDefault="00912DC2" w:rsidP="00210E74">
      <w:pPr>
        <w:pStyle w:val="cover-author"/>
      </w:pPr>
      <w:r>
        <w:t>Cynthia Bland, MPH</w:t>
      </w:r>
    </w:p>
    <w:p w14:paraId="73AD0A8B" w14:textId="326FDE4E" w:rsidR="00912DC2" w:rsidRDefault="00912DC2" w:rsidP="00210E74">
      <w:pPr>
        <w:pStyle w:val="cover-author"/>
      </w:pPr>
      <w:r>
        <w:t>Tracy Kline, PhD</w:t>
      </w:r>
    </w:p>
    <w:p w14:paraId="0CE89C0F" w14:textId="77777777" w:rsidR="00210E74" w:rsidRDefault="00210E74" w:rsidP="00210E74">
      <w:pPr>
        <w:pStyle w:val="cover-address"/>
      </w:pPr>
      <w:r>
        <w:t>RTI International</w:t>
      </w:r>
    </w:p>
    <w:p w14:paraId="52B7ADD6" w14:textId="77777777" w:rsidR="00210E74" w:rsidRDefault="00210E74" w:rsidP="00210E74">
      <w:pPr>
        <w:pStyle w:val="cover-address"/>
      </w:pPr>
      <w:r>
        <w:t>3040 E. Cornwallis Road</w:t>
      </w:r>
    </w:p>
    <w:p w14:paraId="6B94C208" w14:textId="77777777" w:rsidR="00210E74" w:rsidRDefault="00210E74" w:rsidP="00210E74">
      <w:pPr>
        <w:pStyle w:val="cover-address"/>
      </w:pPr>
      <w:r>
        <w:t>Research Triangle Park, NC 27709</w:t>
      </w:r>
    </w:p>
    <w:p w14:paraId="44E49E33" w14:textId="56AF0F2B" w:rsidR="00210E74" w:rsidRDefault="00210E74" w:rsidP="00210E74">
      <w:pPr>
        <w:pStyle w:val="cover-address"/>
      </w:pPr>
      <w:r>
        <w:t xml:space="preserve">CMS Contract No: </w:t>
      </w:r>
      <w:r w:rsidR="00912DC2" w:rsidRPr="008A7EC7">
        <w:t>GS-00F-354CA</w:t>
      </w:r>
    </w:p>
    <w:p w14:paraId="1195D695" w14:textId="426980DC" w:rsidR="00210E74" w:rsidRDefault="00210E74" w:rsidP="00210E74">
      <w:pPr>
        <w:pStyle w:val="cover-address"/>
      </w:pPr>
      <w:r>
        <w:t xml:space="preserve">RTI Project Number </w:t>
      </w:r>
      <w:r w:rsidR="00912DC2">
        <w:t>0217687</w:t>
      </w:r>
    </w:p>
    <w:p w14:paraId="3C55D39E" w14:textId="77777777" w:rsidR="00210E74" w:rsidRDefault="00210E74" w:rsidP="00210E74">
      <w:pPr>
        <w:autoSpaceDE w:val="0"/>
        <w:autoSpaceDN w:val="0"/>
        <w:adjustRightInd w:val="0"/>
        <w:rPr>
          <w:szCs w:val="24"/>
        </w:rPr>
        <w:sectPr w:rsidR="00210E74" w:rsidSect="005669B3">
          <w:footnotePr>
            <w:numRestart w:val="eachPage"/>
          </w:footnotePr>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sectPr>
      </w:pPr>
    </w:p>
    <w:p w14:paraId="77CB3642" w14:textId="77777777" w:rsidR="00210E74" w:rsidRPr="00877DEB" w:rsidRDefault="00210E74" w:rsidP="008A4310">
      <w:pPr>
        <w:pStyle w:val="TOCHeading"/>
        <w:jc w:val="left"/>
      </w:pPr>
      <w:r w:rsidRPr="00846C44">
        <w:rPr>
          <w:b w:val="0"/>
          <w:bCs w:val="0"/>
          <w:caps w:val="0"/>
        </w:rPr>
        <w:lastRenderedPageBreak/>
        <w:t>CONTENTS</w:t>
      </w:r>
    </w:p>
    <w:p w14:paraId="49ED7C90" w14:textId="77777777" w:rsidR="00210E74" w:rsidRDefault="00210E74" w:rsidP="00210E74">
      <w:pPr>
        <w:pStyle w:val="TOC1"/>
        <w:tabs>
          <w:tab w:val="right" w:leader="dot" w:pos="9350"/>
        </w:tabs>
        <w:rPr>
          <w:rFonts w:asciiTheme="minorHAnsi" w:eastAsiaTheme="minorEastAsia" w:hAnsiTheme="minorHAnsi" w:cstheme="minorBidi"/>
          <w:noProof/>
          <w:sz w:val="22"/>
          <w:szCs w:val="22"/>
        </w:rPr>
      </w:pPr>
      <w:r>
        <w:rPr>
          <w:noProof/>
          <w:szCs w:val="24"/>
        </w:rPr>
        <w:fldChar w:fldCharType="begin"/>
      </w:r>
      <w:r>
        <w:rPr>
          <w:noProof/>
          <w:szCs w:val="24"/>
        </w:rPr>
        <w:instrText xml:space="preserve"> TOC \h \z \t "Heading 2,1,Heading 3,2,Heading 4,3" </w:instrText>
      </w:r>
      <w:r>
        <w:rPr>
          <w:noProof/>
          <w:szCs w:val="24"/>
        </w:rPr>
        <w:fldChar w:fldCharType="separate"/>
      </w:r>
      <w:hyperlink w:anchor="_Toc497219207" w:history="1">
        <w:r w:rsidRPr="00044371">
          <w:rPr>
            <w:rStyle w:val="Hyperlink"/>
            <w:noProof/>
          </w:rPr>
          <w:t>Recommended Method for Calculating Star Ratings for ICH CAHPS Survey Measures</w:t>
        </w:r>
        <w:r>
          <w:rPr>
            <w:noProof/>
            <w:webHidden/>
          </w:rPr>
          <w:tab/>
        </w:r>
        <w:r>
          <w:rPr>
            <w:noProof/>
            <w:webHidden/>
          </w:rPr>
          <w:fldChar w:fldCharType="begin"/>
        </w:r>
        <w:r>
          <w:rPr>
            <w:noProof/>
            <w:webHidden/>
          </w:rPr>
          <w:instrText xml:space="preserve"> PAGEREF _Toc497219207 \h </w:instrText>
        </w:r>
        <w:r>
          <w:rPr>
            <w:noProof/>
            <w:webHidden/>
          </w:rPr>
        </w:r>
        <w:r>
          <w:rPr>
            <w:noProof/>
            <w:webHidden/>
          </w:rPr>
          <w:fldChar w:fldCharType="separate"/>
        </w:r>
        <w:r>
          <w:rPr>
            <w:noProof/>
            <w:webHidden/>
          </w:rPr>
          <w:t>1</w:t>
        </w:r>
        <w:r>
          <w:rPr>
            <w:noProof/>
            <w:webHidden/>
          </w:rPr>
          <w:fldChar w:fldCharType="end"/>
        </w:r>
      </w:hyperlink>
    </w:p>
    <w:p w14:paraId="36D07129" w14:textId="77777777" w:rsidR="00210E74" w:rsidRDefault="003A76CA" w:rsidP="00210E74">
      <w:pPr>
        <w:pStyle w:val="TOC2"/>
        <w:tabs>
          <w:tab w:val="left" w:pos="660"/>
          <w:tab w:val="right" w:leader="dot" w:pos="9350"/>
        </w:tabs>
        <w:rPr>
          <w:rFonts w:asciiTheme="minorHAnsi" w:eastAsiaTheme="minorEastAsia" w:hAnsiTheme="minorHAnsi" w:cstheme="minorBidi"/>
          <w:noProof/>
          <w:sz w:val="22"/>
          <w:szCs w:val="22"/>
        </w:rPr>
      </w:pPr>
      <w:hyperlink w:anchor="_Toc497219208" w:history="1">
        <w:r w:rsidR="00210E74" w:rsidRPr="00044371">
          <w:rPr>
            <w:rStyle w:val="Hyperlink"/>
            <w:noProof/>
          </w:rPr>
          <w:t>1.</w:t>
        </w:r>
        <w:r w:rsidR="00210E74">
          <w:rPr>
            <w:rFonts w:asciiTheme="minorHAnsi" w:eastAsiaTheme="minorEastAsia" w:hAnsiTheme="minorHAnsi" w:cstheme="minorBidi"/>
            <w:noProof/>
            <w:sz w:val="22"/>
            <w:szCs w:val="22"/>
          </w:rPr>
          <w:tab/>
        </w:r>
        <w:r w:rsidR="00210E74" w:rsidRPr="00044371">
          <w:rPr>
            <w:rStyle w:val="Hyperlink"/>
            <w:noProof/>
          </w:rPr>
          <w:t>Overview</w:t>
        </w:r>
        <w:r w:rsidR="00210E74">
          <w:rPr>
            <w:noProof/>
            <w:webHidden/>
          </w:rPr>
          <w:tab/>
        </w:r>
        <w:r w:rsidR="00210E74">
          <w:rPr>
            <w:noProof/>
            <w:webHidden/>
          </w:rPr>
          <w:fldChar w:fldCharType="begin"/>
        </w:r>
        <w:r w:rsidR="00210E74">
          <w:rPr>
            <w:noProof/>
            <w:webHidden/>
          </w:rPr>
          <w:instrText xml:space="preserve"> PAGEREF _Toc497219208 \h </w:instrText>
        </w:r>
        <w:r w:rsidR="00210E74">
          <w:rPr>
            <w:noProof/>
            <w:webHidden/>
          </w:rPr>
        </w:r>
        <w:r w:rsidR="00210E74">
          <w:rPr>
            <w:noProof/>
            <w:webHidden/>
          </w:rPr>
          <w:fldChar w:fldCharType="separate"/>
        </w:r>
        <w:r w:rsidR="00210E74">
          <w:rPr>
            <w:noProof/>
            <w:webHidden/>
          </w:rPr>
          <w:t>1</w:t>
        </w:r>
        <w:r w:rsidR="00210E74">
          <w:rPr>
            <w:noProof/>
            <w:webHidden/>
          </w:rPr>
          <w:fldChar w:fldCharType="end"/>
        </w:r>
      </w:hyperlink>
    </w:p>
    <w:p w14:paraId="75920B5B" w14:textId="77777777" w:rsidR="00210E74" w:rsidRDefault="003A76CA" w:rsidP="00210E74">
      <w:pPr>
        <w:pStyle w:val="TOC2"/>
        <w:tabs>
          <w:tab w:val="left" w:pos="660"/>
          <w:tab w:val="right" w:leader="dot" w:pos="9350"/>
        </w:tabs>
        <w:rPr>
          <w:rFonts w:asciiTheme="minorHAnsi" w:eastAsiaTheme="minorEastAsia" w:hAnsiTheme="minorHAnsi" w:cstheme="minorBidi"/>
          <w:noProof/>
          <w:sz w:val="22"/>
          <w:szCs w:val="22"/>
        </w:rPr>
      </w:pPr>
      <w:hyperlink w:anchor="_Toc497219209" w:history="1">
        <w:r w:rsidR="00210E74" w:rsidRPr="00044371">
          <w:rPr>
            <w:rStyle w:val="Hyperlink"/>
            <w:noProof/>
          </w:rPr>
          <w:t>2.</w:t>
        </w:r>
        <w:r w:rsidR="00210E74">
          <w:rPr>
            <w:rFonts w:asciiTheme="minorHAnsi" w:eastAsiaTheme="minorEastAsia" w:hAnsiTheme="minorHAnsi" w:cstheme="minorBidi"/>
            <w:noProof/>
            <w:sz w:val="22"/>
            <w:szCs w:val="22"/>
          </w:rPr>
          <w:tab/>
        </w:r>
        <w:r w:rsidR="00210E74" w:rsidRPr="00044371">
          <w:rPr>
            <w:rStyle w:val="Hyperlink"/>
            <w:noProof/>
          </w:rPr>
          <w:t>Method for Producing Star Ratings for the ICH CAHPS Survey Measures</w:t>
        </w:r>
        <w:r w:rsidR="00210E74">
          <w:rPr>
            <w:noProof/>
            <w:webHidden/>
          </w:rPr>
          <w:tab/>
        </w:r>
        <w:r w:rsidR="00210E74">
          <w:rPr>
            <w:noProof/>
            <w:webHidden/>
          </w:rPr>
          <w:fldChar w:fldCharType="begin"/>
        </w:r>
        <w:r w:rsidR="00210E74">
          <w:rPr>
            <w:noProof/>
            <w:webHidden/>
          </w:rPr>
          <w:instrText xml:space="preserve"> PAGEREF _Toc497219209 \h </w:instrText>
        </w:r>
        <w:r w:rsidR="00210E74">
          <w:rPr>
            <w:noProof/>
            <w:webHidden/>
          </w:rPr>
        </w:r>
        <w:r w:rsidR="00210E74">
          <w:rPr>
            <w:noProof/>
            <w:webHidden/>
          </w:rPr>
          <w:fldChar w:fldCharType="separate"/>
        </w:r>
        <w:r w:rsidR="00210E74">
          <w:rPr>
            <w:noProof/>
            <w:webHidden/>
          </w:rPr>
          <w:t>1</w:t>
        </w:r>
        <w:r w:rsidR="00210E74">
          <w:rPr>
            <w:noProof/>
            <w:webHidden/>
          </w:rPr>
          <w:fldChar w:fldCharType="end"/>
        </w:r>
      </w:hyperlink>
    </w:p>
    <w:p w14:paraId="7ECA9D9D" w14:textId="77777777" w:rsidR="00210E74" w:rsidRDefault="003A76CA" w:rsidP="00210E74">
      <w:pPr>
        <w:pStyle w:val="TOC3"/>
        <w:rPr>
          <w:rFonts w:asciiTheme="minorHAnsi" w:eastAsiaTheme="minorEastAsia" w:hAnsiTheme="minorHAnsi" w:cstheme="minorBidi"/>
          <w:noProof/>
          <w:sz w:val="22"/>
          <w:szCs w:val="22"/>
        </w:rPr>
      </w:pPr>
      <w:hyperlink w:anchor="_Toc497219210" w:history="1">
        <w:r w:rsidR="00210E74" w:rsidRPr="00044371">
          <w:rPr>
            <w:rStyle w:val="Hyperlink"/>
            <w:noProof/>
          </w:rPr>
          <w:t>2.1</w:t>
        </w:r>
        <w:r w:rsidR="00210E74">
          <w:rPr>
            <w:rFonts w:asciiTheme="minorHAnsi" w:eastAsiaTheme="minorEastAsia" w:hAnsiTheme="minorHAnsi" w:cstheme="minorBidi"/>
            <w:noProof/>
            <w:sz w:val="22"/>
            <w:szCs w:val="22"/>
          </w:rPr>
          <w:tab/>
        </w:r>
        <w:r w:rsidR="00210E74" w:rsidRPr="00044371">
          <w:rPr>
            <w:rStyle w:val="Hyperlink"/>
            <w:noProof/>
          </w:rPr>
          <w:t>ICH CAHPS Measures That Will Receive a Star Rating</w:t>
        </w:r>
        <w:r w:rsidR="00210E74">
          <w:rPr>
            <w:noProof/>
            <w:webHidden/>
          </w:rPr>
          <w:tab/>
        </w:r>
        <w:r w:rsidR="00210E74">
          <w:rPr>
            <w:noProof/>
            <w:webHidden/>
          </w:rPr>
          <w:fldChar w:fldCharType="begin"/>
        </w:r>
        <w:r w:rsidR="00210E74">
          <w:rPr>
            <w:noProof/>
            <w:webHidden/>
          </w:rPr>
          <w:instrText xml:space="preserve"> PAGEREF _Toc497219210 \h </w:instrText>
        </w:r>
        <w:r w:rsidR="00210E74">
          <w:rPr>
            <w:noProof/>
            <w:webHidden/>
          </w:rPr>
        </w:r>
        <w:r w:rsidR="00210E74">
          <w:rPr>
            <w:noProof/>
            <w:webHidden/>
          </w:rPr>
          <w:fldChar w:fldCharType="separate"/>
        </w:r>
        <w:r w:rsidR="00210E74">
          <w:rPr>
            <w:noProof/>
            <w:webHidden/>
          </w:rPr>
          <w:t>2</w:t>
        </w:r>
        <w:r w:rsidR="00210E74">
          <w:rPr>
            <w:noProof/>
            <w:webHidden/>
          </w:rPr>
          <w:fldChar w:fldCharType="end"/>
        </w:r>
      </w:hyperlink>
    </w:p>
    <w:p w14:paraId="3E0D7E1B" w14:textId="77777777" w:rsidR="00210E74" w:rsidRDefault="003A76CA" w:rsidP="00210E74">
      <w:pPr>
        <w:pStyle w:val="TOC3"/>
        <w:rPr>
          <w:rFonts w:asciiTheme="minorHAnsi" w:eastAsiaTheme="minorEastAsia" w:hAnsiTheme="minorHAnsi" w:cstheme="minorBidi"/>
          <w:noProof/>
          <w:sz w:val="22"/>
          <w:szCs w:val="22"/>
        </w:rPr>
      </w:pPr>
      <w:hyperlink w:anchor="_Toc497219211" w:history="1">
        <w:r w:rsidR="00210E74" w:rsidRPr="00044371">
          <w:rPr>
            <w:rStyle w:val="Hyperlink"/>
            <w:noProof/>
          </w:rPr>
          <w:t>2.2</w:t>
        </w:r>
        <w:r w:rsidR="00210E74">
          <w:rPr>
            <w:rFonts w:asciiTheme="minorHAnsi" w:eastAsiaTheme="minorEastAsia" w:hAnsiTheme="minorHAnsi" w:cstheme="minorBidi"/>
            <w:noProof/>
            <w:sz w:val="22"/>
            <w:szCs w:val="22"/>
          </w:rPr>
          <w:tab/>
        </w:r>
        <w:r w:rsidR="00210E74" w:rsidRPr="00044371">
          <w:rPr>
            <w:rStyle w:val="Hyperlink"/>
            <w:noProof/>
          </w:rPr>
          <w:t>Methods for Calculating Star Rating</w:t>
        </w:r>
        <w:r w:rsidR="00210E74">
          <w:rPr>
            <w:noProof/>
            <w:webHidden/>
          </w:rPr>
          <w:tab/>
        </w:r>
        <w:r w:rsidR="00210E74">
          <w:rPr>
            <w:noProof/>
            <w:webHidden/>
          </w:rPr>
          <w:fldChar w:fldCharType="begin"/>
        </w:r>
        <w:r w:rsidR="00210E74">
          <w:rPr>
            <w:noProof/>
            <w:webHidden/>
          </w:rPr>
          <w:instrText xml:space="preserve"> PAGEREF _Toc497219211 \h </w:instrText>
        </w:r>
        <w:r w:rsidR="00210E74">
          <w:rPr>
            <w:noProof/>
            <w:webHidden/>
          </w:rPr>
        </w:r>
        <w:r w:rsidR="00210E74">
          <w:rPr>
            <w:noProof/>
            <w:webHidden/>
          </w:rPr>
          <w:fldChar w:fldCharType="separate"/>
        </w:r>
        <w:r w:rsidR="00210E74">
          <w:rPr>
            <w:noProof/>
            <w:webHidden/>
          </w:rPr>
          <w:t>2</w:t>
        </w:r>
        <w:r w:rsidR="00210E74">
          <w:rPr>
            <w:noProof/>
            <w:webHidden/>
          </w:rPr>
          <w:fldChar w:fldCharType="end"/>
        </w:r>
      </w:hyperlink>
    </w:p>
    <w:p w14:paraId="26ABA535" w14:textId="77777777" w:rsidR="00210E74" w:rsidRDefault="003A76CA" w:rsidP="00210E74">
      <w:pPr>
        <w:pStyle w:val="TOC2"/>
        <w:tabs>
          <w:tab w:val="left" w:pos="660"/>
          <w:tab w:val="right" w:leader="dot" w:pos="9350"/>
        </w:tabs>
        <w:rPr>
          <w:rFonts w:asciiTheme="minorHAnsi" w:eastAsiaTheme="minorEastAsia" w:hAnsiTheme="minorHAnsi" w:cstheme="minorBidi"/>
          <w:noProof/>
          <w:sz w:val="22"/>
          <w:szCs w:val="22"/>
        </w:rPr>
      </w:pPr>
      <w:hyperlink w:anchor="_Toc497219212" w:history="1">
        <w:r w:rsidR="00210E74" w:rsidRPr="00044371">
          <w:rPr>
            <w:rStyle w:val="Hyperlink"/>
            <w:noProof/>
          </w:rPr>
          <w:t>3.</w:t>
        </w:r>
        <w:r w:rsidR="00210E74">
          <w:rPr>
            <w:rFonts w:asciiTheme="minorHAnsi" w:eastAsiaTheme="minorEastAsia" w:hAnsiTheme="minorHAnsi" w:cstheme="minorBidi"/>
            <w:noProof/>
            <w:sz w:val="22"/>
            <w:szCs w:val="22"/>
          </w:rPr>
          <w:tab/>
        </w:r>
        <w:r w:rsidR="00210E74" w:rsidRPr="00044371">
          <w:rPr>
            <w:rStyle w:val="Hyperlink"/>
            <w:noProof/>
          </w:rPr>
          <w:t>ICH CAHPS Star Ratings for the 2016 ICH CAHPS Surveys</w:t>
        </w:r>
        <w:r w:rsidR="00210E74">
          <w:rPr>
            <w:noProof/>
            <w:webHidden/>
          </w:rPr>
          <w:tab/>
        </w:r>
        <w:r w:rsidR="00210E74">
          <w:rPr>
            <w:noProof/>
            <w:webHidden/>
          </w:rPr>
          <w:fldChar w:fldCharType="begin"/>
        </w:r>
        <w:r w:rsidR="00210E74">
          <w:rPr>
            <w:noProof/>
            <w:webHidden/>
          </w:rPr>
          <w:instrText xml:space="preserve"> PAGEREF _Toc497219212 \h </w:instrText>
        </w:r>
        <w:r w:rsidR="00210E74">
          <w:rPr>
            <w:noProof/>
            <w:webHidden/>
          </w:rPr>
        </w:r>
        <w:r w:rsidR="00210E74">
          <w:rPr>
            <w:noProof/>
            <w:webHidden/>
          </w:rPr>
          <w:fldChar w:fldCharType="separate"/>
        </w:r>
        <w:r w:rsidR="00210E74">
          <w:rPr>
            <w:noProof/>
            <w:webHidden/>
          </w:rPr>
          <w:t>4</w:t>
        </w:r>
        <w:r w:rsidR="00210E74">
          <w:rPr>
            <w:noProof/>
            <w:webHidden/>
          </w:rPr>
          <w:fldChar w:fldCharType="end"/>
        </w:r>
      </w:hyperlink>
    </w:p>
    <w:p w14:paraId="21ED9C1A" w14:textId="77777777" w:rsidR="00210E74" w:rsidRDefault="003A76CA" w:rsidP="00210E74">
      <w:pPr>
        <w:pStyle w:val="TOC2"/>
        <w:tabs>
          <w:tab w:val="left" w:pos="660"/>
          <w:tab w:val="right" w:leader="dot" w:pos="9350"/>
        </w:tabs>
        <w:rPr>
          <w:rFonts w:asciiTheme="minorHAnsi" w:eastAsiaTheme="minorEastAsia" w:hAnsiTheme="minorHAnsi" w:cstheme="minorBidi"/>
          <w:noProof/>
          <w:sz w:val="22"/>
          <w:szCs w:val="22"/>
        </w:rPr>
      </w:pPr>
      <w:hyperlink w:anchor="_Toc497219213" w:history="1">
        <w:r w:rsidR="00210E74" w:rsidRPr="00044371">
          <w:rPr>
            <w:rStyle w:val="Hyperlink"/>
            <w:noProof/>
          </w:rPr>
          <w:t>4.</w:t>
        </w:r>
        <w:r w:rsidR="00210E74">
          <w:rPr>
            <w:rFonts w:asciiTheme="minorHAnsi" w:eastAsiaTheme="minorEastAsia" w:hAnsiTheme="minorHAnsi" w:cstheme="minorBidi"/>
            <w:noProof/>
            <w:sz w:val="22"/>
            <w:szCs w:val="22"/>
          </w:rPr>
          <w:tab/>
        </w:r>
        <w:r w:rsidR="00210E74" w:rsidRPr="00044371">
          <w:rPr>
            <w:rStyle w:val="Hyperlink"/>
            <w:noProof/>
          </w:rPr>
          <w:t>Recommended Minimum Number of Completed Surveys Required for ICH CAHPS Star Ratings</w:t>
        </w:r>
        <w:r w:rsidR="00210E74">
          <w:rPr>
            <w:noProof/>
            <w:webHidden/>
          </w:rPr>
          <w:tab/>
        </w:r>
        <w:r w:rsidR="00210E74">
          <w:rPr>
            <w:noProof/>
            <w:webHidden/>
          </w:rPr>
          <w:fldChar w:fldCharType="begin"/>
        </w:r>
        <w:r w:rsidR="00210E74">
          <w:rPr>
            <w:noProof/>
            <w:webHidden/>
          </w:rPr>
          <w:instrText xml:space="preserve"> PAGEREF _Toc497219213 \h </w:instrText>
        </w:r>
        <w:r w:rsidR="00210E74">
          <w:rPr>
            <w:noProof/>
            <w:webHidden/>
          </w:rPr>
        </w:r>
        <w:r w:rsidR="00210E74">
          <w:rPr>
            <w:noProof/>
            <w:webHidden/>
          </w:rPr>
          <w:fldChar w:fldCharType="separate"/>
        </w:r>
        <w:r w:rsidR="00210E74">
          <w:rPr>
            <w:noProof/>
            <w:webHidden/>
          </w:rPr>
          <w:t>5</w:t>
        </w:r>
        <w:r w:rsidR="00210E74">
          <w:rPr>
            <w:noProof/>
            <w:webHidden/>
          </w:rPr>
          <w:fldChar w:fldCharType="end"/>
        </w:r>
      </w:hyperlink>
    </w:p>
    <w:p w14:paraId="338A4D9D" w14:textId="77777777" w:rsidR="00210E74" w:rsidRDefault="003A76CA" w:rsidP="00210E74">
      <w:pPr>
        <w:pStyle w:val="TOC2"/>
        <w:tabs>
          <w:tab w:val="left" w:pos="660"/>
          <w:tab w:val="right" w:leader="dot" w:pos="9350"/>
        </w:tabs>
        <w:rPr>
          <w:rFonts w:asciiTheme="minorHAnsi" w:eastAsiaTheme="minorEastAsia" w:hAnsiTheme="minorHAnsi" w:cstheme="minorBidi"/>
          <w:noProof/>
          <w:sz w:val="22"/>
          <w:szCs w:val="22"/>
        </w:rPr>
      </w:pPr>
      <w:hyperlink w:anchor="_Toc497219214" w:history="1">
        <w:r w:rsidR="00210E74" w:rsidRPr="00044371">
          <w:rPr>
            <w:rStyle w:val="Hyperlink"/>
            <w:noProof/>
          </w:rPr>
          <w:t>5.</w:t>
        </w:r>
        <w:r w:rsidR="00210E74">
          <w:rPr>
            <w:rFonts w:asciiTheme="minorHAnsi" w:eastAsiaTheme="minorEastAsia" w:hAnsiTheme="minorHAnsi" w:cstheme="minorBidi"/>
            <w:noProof/>
            <w:sz w:val="22"/>
            <w:szCs w:val="22"/>
          </w:rPr>
          <w:tab/>
        </w:r>
        <w:r w:rsidR="00210E74" w:rsidRPr="00044371">
          <w:rPr>
            <w:rStyle w:val="Hyperlink"/>
            <w:noProof/>
          </w:rPr>
          <w:t>Periodicity of Reporting Star Ratings</w:t>
        </w:r>
        <w:r w:rsidR="00210E74">
          <w:rPr>
            <w:noProof/>
            <w:webHidden/>
          </w:rPr>
          <w:tab/>
        </w:r>
        <w:r w:rsidR="00210E74">
          <w:rPr>
            <w:noProof/>
            <w:webHidden/>
          </w:rPr>
          <w:fldChar w:fldCharType="begin"/>
        </w:r>
        <w:r w:rsidR="00210E74">
          <w:rPr>
            <w:noProof/>
            <w:webHidden/>
          </w:rPr>
          <w:instrText xml:space="preserve"> PAGEREF _Toc497219214 \h </w:instrText>
        </w:r>
        <w:r w:rsidR="00210E74">
          <w:rPr>
            <w:noProof/>
            <w:webHidden/>
          </w:rPr>
        </w:r>
        <w:r w:rsidR="00210E74">
          <w:rPr>
            <w:noProof/>
            <w:webHidden/>
          </w:rPr>
          <w:fldChar w:fldCharType="separate"/>
        </w:r>
        <w:r w:rsidR="00210E74">
          <w:rPr>
            <w:noProof/>
            <w:webHidden/>
          </w:rPr>
          <w:t>5</w:t>
        </w:r>
        <w:r w:rsidR="00210E74">
          <w:rPr>
            <w:noProof/>
            <w:webHidden/>
          </w:rPr>
          <w:fldChar w:fldCharType="end"/>
        </w:r>
      </w:hyperlink>
    </w:p>
    <w:p w14:paraId="5BD05467" w14:textId="77777777" w:rsidR="00210E74" w:rsidRPr="00846C44" w:rsidRDefault="00210E74" w:rsidP="00210E74">
      <w:pPr>
        <w:tabs>
          <w:tab w:val="right" w:leader="dot" w:pos="9360"/>
        </w:tabs>
        <w:autoSpaceDE w:val="0"/>
        <w:autoSpaceDN w:val="0"/>
        <w:adjustRightInd w:val="0"/>
        <w:spacing w:before="240"/>
        <w:ind w:left="540" w:right="720" w:hanging="540"/>
        <w:rPr>
          <w:noProof/>
          <w:szCs w:val="24"/>
        </w:rPr>
      </w:pPr>
      <w:r>
        <w:rPr>
          <w:noProof/>
          <w:szCs w:val="24"/>
        </w:rPr>
        <w:fldChar w:fldCharType="end"/>
      </w:r>
      <w:r w:rsidRPr="00846C44">
        <w:rPr>
          <w:noProof/>
          <w:szCs w:val="24"/>
        </w:rPr>
        <w:t>Appendixes</w:t>
      </w:r>
    </w:p>
    <w:p w14:paraId="6242E17C" w14:textId="77777777" w:rsidR="00210E74" w:rsidRDefault="00210E74" w:rsidP="00210E74">
      <w:pPr>
        <w:pStyle w:val="TableofFigures"/>
      </w:pPr>
      <w:r w:rsidRPr="00846C44">
        <w:rPr>
          <w:szCs w:val="24"/>
        </w:rPr>
        <w:fldChar w:fldCharType="begin"/>
      </w:r>
      <w:r w:rsidRPr="00846C44">
        <w:rPr>
          <w:szCs w:val="24"/>
        </w:rPr>
        <w:instrText xml:space="preserve"> TOC \h \z \t "app-heading_1" \c </w:instrText>
      </w:r>
      <w:r w:rsidRPr="00846C44">
        <w:rPr>
          <w:szCs w:val="24"/>
        </w:rPr>
        <w:fldChar w:fldCharType="separate"/>
      </w:r>
      <w:hyperlink w:anchor="_Toc497218986" w:history="1">
        <w:r>
          <w:rPr>
            <w:rStyle w:val="Hyperlink"/>
          </w:rPr>
          <w:t>A:</w:t>
        </w:r>
        <w:r>
          <w:rPr>
            <w:rStyle w:val="Hyperlink"/>
          </w:rPr>
          <w:tab/>
        </w:r>
        <w:r w:rsidRPr="00A32A41">
          <w:rPr>
            <w:rStyle w:val="Hyperlink"/>
          </w:rPr>
          <w:t>Patient-Mix Adjustment Factors for ICH CAHPS Linear Means from the 2016 ICH CAHPS Surveys</w:t>
        </w:r>
        <w:r>
          <w:rPr>
            <w:webHidden/>
          </w:rPr>
          <w:tab/>
        </w:r>
        <w:r>
          <w:rPr>
            <w:webHidden/>
          </w:rPr>
          <w:fldChar w:fldCharType="begin"/>
        </w:r>
        <w:r>
          <w:rPr>
            <w:webHidden/>
          </w:rPr>
          <w:instrText xml:space="preserve"> PAGEREF _Toc497218986 \h </w:instrText>
        </w:r>
        <w:r>
          <w:rPr>
            <w:webHidden/>
          </w:rPr>
        </w:r>
        <w:r>
          <w:rPr>
            <w:webHidden/>
          </w:rPr>
          <w:fldChar w:fldCharType="separate"/>
        </w:r>
        <w:r>
          <w:rPr>
            <w:webHidden/>
          </w:rPr>
          <w:t>6</w:t>
        </w:r>
        <w:r>
          <w:rPr>
            <w:webHidden/>
          </w:rPr>
          <w:fldChar w:fldCharType="end"/>
        </w:r>
      </w:hyperlink>
    </w:p>
    <w:p w14:paraId="3AD14BBB" w14:textId="77777777" w:rsidR="00210E74" w:rsidRDefault="003A76CA" w:rsidP="00210E74">
      <w:pPr>
        <w:pStyle w:val="TableofFigures"/>
      </w:pPr>
      <w:hyperlink w:anchor="_Toc497218987" w:history="1">
        <w:r w:rsidR="00210E74">
          <w:rPr>
            <w:rStyle w:val="Hyperlink"/>
          </w:rPr>
          <w:t>B:</w:t>
        </w:r>
        <w:r w:rsidR="00210E74">
          <w:rPr>
            <w:rStyle w:val="Hyperlink"/>
          </w:rPr>
          <w:tab/>
        </w:r>
        <w:r w:rsidR="00210E74" w:rsidRPr="00A32A41">
          <w:rPr>
            <w:rStyle w:val="Hyperlink"/>
          </w:rPr>
          <w:t>Additional Information on the Clustering Method Used to Create ICH CAHPS Star Ratings</w:t>
        </w:r>
        <w:r w:rsidR="00210E74">
          <w:rPr>
            <w:webHidden/>
          </w:rPr>
          <w:tab/>
        </w:r>
        <w:r w:rsidR="00210E74">
          <w:rPr>
            <w:webHidden/>
          </w:rPr>
          <w:fldChar w:fldCharType="begin"/>
        </w:r>
        <w:r w:rsidR="00210E74">
          <w:rPr>
            <w:webHidden/>
          </w:rPr>
          <w:instrText xml:space="preserve"> PAGEREF _Toc497218987 \h </w:instrText>
        </w:r>
        <w:r w:rsidR="00210E74">
          <w:rPr>
            <w:webHidden/>
          </w:rPr>
        </w:r>
        <w:r w:rsidR="00210E74">
          <w:rPr>
            <w:webHidden/>
          </w:rPr>
          <w:fldChar w:fldCharType="separate"/>
        </w:r>
        <w:r w:rsidR="00210E74">
          <w:rPr>
            <w:webHidden/>
          </w:rPr>
          <w:t>11</w:t>
        </w:r>
        <w:r w:rsidR="00210E74">
          <w:rPr>
            <w:webHidden/>
          </w:rPr>
          <w:fldChar w:fldCharType="end"/>
        </w:r>
      </w:hyperlink>
    </w:p>
    <w:p w14:paraId="0A531E2D" w14:textId="77777777" w:rsidR="00210E74" w:rsidRDefault="003A76CA" w:rsidP="00210E74">
      <w:pPr>
        <w:pStyle w:val="TableofFigures"/>
      </w:pPr>
      <w:hyperlink w:anchor="_Toc497218988" w:history="1">
        <w:r w:rsidR="00210E74">
          <w:rPr>
            <w:rStyle w:val="Hyperlink"/>
          </w:rPr>
          <w:t>C:</w:t>
        </w:r>
        <w:r w:rsidR="00210E74">
          <w:rPr>
            <w:rStyle w:val="Hyperlink"/>
          </w:rPr>
          <w:tab/>
        </w:r>
        <w:r w:rsidR="00210E74" w:rsidRPr="00A32A41">
          <w:rPr>
            <w:rStyle w:val="Hyperlink"/>
          </w:rPr>
          <w:t>2016 ICH CAHPS Star Rating Cut Points</w:t>
        </w:r>
        <w:r w:rsidR="00210E74">
          <w:rPr>
            <w:webHidden/>
          </w:rPr>
          <w:tab/>
        </w:r>
        <w:r w:rsidR="00210E74">
          <w:rPr>
            <w:webHidden/>
          </w:rPr>
          <w:fldChar w:fldCharType="begin"/>
        </w:r>
        <w:r w:rsidR="00210E74">
          <w:rPr>
            <w:webHidden/>
          </w:rPr>
          <w:instrText xml:space="preserve"> PAGEREF _Toc497218988 \h </w:instrText>
        </w:r>
        <w:r w:rsidR="00210E74">
          <w:rPr>
            <w:webHidden/>
          </w:rPr>
        </w:r>
        <w:r w:rsidR="00210E74">
          <w:rPr>
            <w:webHidden/>
          </w:rPr>
          <w:fldChar w:fldCharType="separate"/>
        </w:r>
        <w:r w:rsidR="00210E74">
          <w:rPr>
            <w:webHidden/>
          </w:rPr>
          <w:t>12</w:t>
        </w:r>
        <w:r w:rsidR="00210E74">
          <w:rPr>
            <w:webHidden/>
          </w:rPr>
          <w:fldChar w:fldCharType="end"/>
        </w:r>
      </w:hyperlink>
    </w:p>
    <w:p w14:paraId="31B964A3" w14:textId="77777777" w:rsidR="00210E74" w:rsidRPr="00846C44" w:rsidRDefault="00210E74" w:rsidP="00210E74">
      <w:pPr>
        <w:tabs>
          <w:tab w:val="right" w:leader="dot" w:pos="9360"/>
        </w:tabs>
        <w:autoSpaceDE w:val="0"/>
        <w:autoSpaceDN w:val="0"/>
        <w:adjustRightInd w:val="0"/>
        <w:spacing w:before="240"/>
        <w:ind w:left="540" w:right="720" w:hanging="540"/>
        <w:rPr>
          <w:noProof/>
          <w:szCs w:val="24"/>
        </w:rPr>
      </w:pPr>
      <w:r w:rsidRPr="00846C44">
        <w:rPr>
          <w:noProof/>
          <w:szCs w:val="24"/>
        </w:rPr>
        <w:fldChar w:fldCharType="end"/>
      </w:r>
      <w:r w:rsidRPr="00846C44">
        <w:rPr>
          <w:noProof/>
          <w:szCs w:val="24"/>
        </w:rPr>
        <w:t>List of Tables</w:t>
      </w:r>
    </w:p>
    <w:p w14:paraId="30569536" w14:textId="77777777" w:rsidR="00210E74" w:rsidRDefault="00210E74" w:rsidP="00210E74">
      <w:pPr>
        <w:pStyle w:val="TableofFigures"/>
        <w:rPr>
          <w:rFonts w:asciiTheme="minorHAnsi" w:eastAsiaTheme="minorEastAsia" w:hAnsiTheme="minorHAnsi" w:cstheme="minorBidi"/>
          <w:color w:val="auto"/>
          <w:sz w:val="22"/>
          <w:szCs w:val="22"/>
        </w:rPr>
      </w:pPr>
      <w:r w:rsidRPr="00846C44">
        <w:rPr>
          <w:szCs w:val="24"/>
          <w:highlight w:val="yellow"/>
        </w:rPr>
        <w:fldChar w:fldCharType="begin"/>
      </w:r>
      <w:r w:rsidRPr="00846C44">
        <w:rPr>
          <w:szCs w:val="24"/>
          <w:highlight w:val="yellow"/>
        </w:rPr>
        <w:instrText xml:space="preserve"> TOC \h \z \t "table-title" \c </w:instrText>
      </w:r>
      <w:r w:rsidRPr="00846C44">
        <w:rPr>
          <w:szCs w:val="24"/>
          <w:highlight w:val="yellow"/>
        </w:rPr>
        <w:fldChar w:fldCharType="separate"/>
      </w:r>
      <w:hyperlink w:anchor="_Toc497219375" w:history="1">
        <w:r w:rsidRPr="002A4A6C">
          <w:rPr>
            <w:rStyle w:val="Hyperlink"/>
          </w:rPr>
          <w:t>1.</w:t>
        </w:r>
        <w:r>
          <w:rPr>
            <w:rFonts w:asciiTheme="minorHAnsi" w:eastAsiaTheme="minorEastAsia" w:hAnsiTheme="minorHAnsi" w:cstheme="minorBidi"/>
            <w:color w:val="auto"/>
            <w:sz w:val="22"/>
            <w:szCs w:val="22"/>
          </w:rPr>
          <w:tab/>
        </w:r>
        <w:r w:rsidRPr="002A4A6C">
          <w:rPr>
            <w:rStyle w:val="Hyperlink"/>
          </w:rPr>
          <w:t>ICH CAHPS Patient-Mix Adjustment Factors of Linear Means (Average for the Two 2016 ICH CAHPS Semiannual Surveys)</w:t>
        </w:r>
        <w:r>
          <w:rPr>
            <w:webHidden/>
          </w:rPr>
          <w:tab/>
        </w:r>
        <w:r>
          <w:rPr>
            <w:webHidden/>
          </w:rPr>
          <w:fldChar w:fldCharType="begin"/>
        </w:r>
        <w:r>
          <w:rPr>
            <w:webHidden/>
          </w:rPr>
          <w:instrText xml:space="preserve"> PAGEREF _Toc497219375 \h </w:instrText>
        </w:r>
        <w:r>
          <w:rPr>
            <w:webHidden/>
          </w:rPr>
        </w:r>
        <w:r>
          <w:rPr>
            <w:webHidden/>
          </w:rPr>
          <w:fldChar w:fldCharType="separate"/>
        </w:r>
        <w:r>
          <w:rPr>
            <w:webHidden/>
          </w:rPr>
          <w:t>6</w:t>
        </w:r>
        <w:r>
          <w:rPr>
            <w:webHidden/>
          </w:rPr>
          <w:fldChar w:fldCharType="end"/>
        </w:r>
      </w:hyperlink>
    </w:p>
    <w:p w14:paraId="04A703D9" w14:textId="77777777" w:rsidR="00210E74" w:rsidRPr="007B4AA9" w:rsidRDefault="003A76CA" w:rsidP="00210E74">
      <w:pPr>
        <w:pStyle w:val="TableofFigures"/>
        <w:rPr>
          <w:rFonts w:eastAsiaTheme="minorEastAsia"/>
        </w:rPr>
      </w:pPr>
      <w:hyperlink w:anchor="_Toc497219376" w:history="1">
        <w:r w:rsidR="00210E74" w:rsidRPr="007B4AA9">
          <w:rPr>
            <w:rStyle w:val="Hyperlink"/>
          </w:rPr>
          <w:t>2.</w:t>
        </w:r>
        <w:r w:rsidR="00210E74" w:rsidRPr="007B4AA9">
          <w:rPr>
            <w:rFonts w:eastAsiaTheme="minorEastAsia"/>
          </w:rPr>
          <w:tab/>
        </w:r>
        <w:r w:rsidR="00210E74" w:rsidRPr="007B4AA9">
          <w:rPr>
            <w:rStyle w:val="Hyperlink"/>
          </w:rPr>
          <w:t>National Means on Patient-Mix Adjustment Factors (Average for the Two 2016 ICH CAHPS Semiannual Surveys)</w:t>
        </w:r>
        <w:r w:rsidR="00210E74" w:rsidRPr="007B4AA9">
          <w:rPr>
            <w:webHidden/>
          </w:rPr>
          <w:tab/>
        </w:r>
        <w:r w:rsidR="00210E74" w:rsidRPr="007B4AA9">
          <w:rPr>
            <w:webHidden/>
          </w:rPr>
          <w:fldChar w:fldCharType="begin"/>
        </w:r>
        <w:r w:rsidR="00210E74" w:rsidRPr="007B4AA9">
          <w:rPr>
            <w:webHidden/>
          </w:rPr>
          <w:instrText xml:space="preserve"> PAGEREF _Toc497219376 \h </w:instrText>
        </w:r>
        <w:r w:rsidR="00210E74" w:rsidRPr="007B4AA9">
          <w:rPr>
            <w:webHidden/>
          </w:rPr>
        </w:r>
        <w:r w:rsidR="00210E74" w:rsidRPr="007B4AA9">
          <w:rPr>
            <w:webHidden/>
          </w:rPr>
          <w:fldChar w:fldCharType="separate"/>
        </w:r>
        <w:r w:rsidR="00210E74" w:rsidRPr="007B4AA9">
          <w:rPr>
            <w:webHidden/>
          </w:rPr>
          <w:t>8</w:t>
        </w:r>
        <w:r w:rsidR="00210E74" w:rsidRPr="007B4AA9">
          <w:rPr>
            <w:webHidden/>
          </w:rPr>
          <w:fldChar w:fldCharType="end"/>
        </w:r>
      </w:hyperlink>
    </w:p>
    <w:p w14:paraId="164B5D66" w14:textId="77777777" w:rsidR="00210E74" w:rsidRDefault="003A76CA" w:rsidP="00210E74">
      <w:pPr>
        <w:pStyle w:val="TableofFigures"/>
        <w:rPr>
          <w:rFonts w:asciiTheme="minorHAnsi" w:eastAsiaTheme="minorEastAsia" w:hAnsiTheme="minorHAnsi" w:cstheme="minorBidi"/>
          <w:color w:val="auto"/>
          <w:sz w:val="22"/>
          <w:szCs w:val="22"/>
        </w:rPr>
      </w:pPr>
      <w:hyperlink w:anchor="_Toc497219377" w:history="1">
        <w:r w:rsidR="00210E74" w:rsidRPr="002A4A6C">
          <w:rPr>
            <w:rStyle w:val="Hyperlink"/>
          </w:rPr>
          <w:t>3.</w:t>
        </w:r>
        <w:r w:rsidR="00210E74">
          <w:rPr>
            <w:rFonts w:asciiTheme="minorHAnsi" w:eastAsiaTheme="minorEastAsia" w:hAnsiTheme="minorHAnsi" w:cstheme="minorBidi"/>
            <w:color w:val="auto"/>
            <w:sz w:val="22"/>
            <w:szCs w:val="22"/>
          </w:rPr>
          <w:tab/>
        </w:r>
        <w:r w:rsidR="00210E74" w:rsidRPr="002A4A6C">
          <w:rPr>
            <w:rStyle w:val="Hyperlink"/>
          </w:rPr>
          <w:t>ICH CAHPS Star Rating Cut Points (Average for the Two 2016 ICH CAHPS Semiannual Surveys)</w:t>
        </w:r>
        <w:r w:rsidR="00210E74">
          <w:rPr>
            <w:webHidden/>
          </w:rPr>
          <w:tab/>
        </w:r>
        <w:r w:rsidR="00210E74">
          <w:rPr>
            <w:webHidden/>
          </w:rPr>
          <w:fldChar w:fldCharType="begin"/>
        </w:r>
        <w:r w:rsidR="00210E74">
          <w:rPr>
            <w:webHidden/>
          </w:rPr>
          <w:instrText xml:space="preserve"> PAGEREF _Toc497219377 \h </w:instrText>
        </w:r>
        <w:r w:rsidR="00210E74">
          <w:rPr>
            <w:webHidden/>
          </w:rPr>
        </w:r>
        <w:r w:rsidR="00210E74">
          <w:rPr>
            <w:webHidden/>
          </w:rPr>
          <w:fldChar w:fldCharType="separate"/>
        </w:r>
        <w:r w:rsidR="00210E74">
          <w:rPr>
            <w:webHidden/>
          </w:rPr>
          <w:t>12</w:t>
        </w:r>
        <w:r w:rsidR="00210E74">
          <w:rPr>
            <w:webHidden/>
          </w:rPr>
          <w:fldChar w:fldCharType="end"/>
        </w:r>
      </w:hyperlink>
    </w:p>
    <w:p w14:paraId="644AC30E" w14:textId="77777777" w:rsidR="00210E74" w:rsidRDefault="003A76CA" w:rsidP="00210E74">
      <w:pPr>
        <w:pStyle w:val="TableofFigures"/>
        <w:rPr>
          <w:rFonts w:asciiTheme="minorHAnsi" w:eastAsiaTheme="minorEastAsia" w:hAnsiTheme="minorHAnsi" w:cstheme="minorBidi"/>
          <w:color w:val="auto"/>
          <w:sz w:val="22"/>
          <w:szCs w:val="22"/>
        </w:rPr>
      </w:pPr>
      <w:hyperlink w:anchor="_Toc497219378" w:history="1">
        <w:r w:rsidR="00210E74" w:rsidRPr="002A4A6C">
          <w:rPr>
            <w:rStyle w:val="Hyperlink"/>
          </w:rPr>
          <w:t>4.</w:t>
        </w:r>
        <w:r w:rsidR="00210E74">
          <w:rPr>
            <w:rFonts w:asciiTheme="minorHAnsi" w:eastAsiaTheme="minorEastAsia" w:hAnsiTheme="minorHAnsi" w:cstheme="minorBidi"/>
            <w:color w:val="auto"/>
            <w:sz w:val="22"/>
            <w:szCs w:val="22"/>
          </w:rPr>
          <w:tab/>
        </w:r>
        <w:r w:rsidR="00210E74" w:rsidRPr="002A4A6C">
          <w:rPr>
            <w:rStyle w:val="Hyperlink"/>
          </w:rPr>
          <w:t>Frequency of ICH CAHPS CCNs Assigned to Each Star Rating (Average for the Two 2016 ICH CAHPS Semiannual Surveys)</w:t>
        </w:r>
        <w:r w:rsidR="00210E74">
          <w:rPr>
            <w:webHidden/>
          </w:rPr>
          <w:tab/>
        </w:r>
        <w:r w:rsidR="00210E74">
          <w:rPr>
            <w:webHidden/>
          </w:rPr>
          <w:fldChar w:fldCharType="begin"/>
        </w:r>
        <w:r w:rsidR="00210E74">
          <w:rPr>
            <w:webHidden/>
          </w:rPr>
          <w:instrText xml:space="preserve"> PAGEREF _Toc497219378 \h </w:instrText>
        </w:r>
        <w:r w:rsidR="00210E74">
          <w:rPr>
            <w:webHidden/>
          </w:rPr>
        </w:r>
        <w:r w:rsidR="00210E74">
          <w:rPr>
            <w:webHidden/>
          </w:rPr>
          <w:fldChar w:fldCharType="separate"/>
        </w:r>
        <w:r w:rsidR="00210E74">
          <w:rPr>
            <w:webHidden/>
          </w:rPr>
          <w:t>12</w:t>
        </w:r>
        <w:r w:rsidR="00210E74">
          <w:rPr>
            <w:webHidden/>
          </w:rPr>
          <w:fldChar w:fldCharType="end"/>
        </w:r>
      </w:hyperlink>
    </w:p>
    <w:p w14:paraId="2329E859" w14:textId="77777777" w:rsidR="00210E74" w:rsidRPr="00846C44" w:rsidRDefault="00210E74" w:rsidP="00210E74">
      <w:pPr>
        <w:tabs>
          <w:tab w:val="right" w:leader="dot" w:pos="9350"/>
        </w:tabs>
        <w:autoSpaceDE w:val="0"/>
        <w:autoSpaceDN w:val="0"/>
        <w:adjustRightInd w:val="0"/>
        <w:ind w:left="547" w:hanging="547"/>
        <w:rPr>
          <w:szCs w:val="24"/>
          <w:highlight w:val="yellow"/>
        </w:rPr>
      </w:pPr>
      <w:r w:rsidRPr="00846C44">
        <w:rPr>
          <w:szCs w:val="24"/>
          <w:highlight w:val="yellow"/>
        </w:rPr>
        <w:fldChar w:fldCharType="end"/>
      </w:r>
    </w:p>
    <w:p w14:paraId="19C36644" w14:textId="77777777" w:rsidR="00210E74" w:rsidRDefault="00210E74" w:rsidP="00210E74">
      <w:pPr>
        <w:tabs>
          <w:tab w:val="right" w:leader="dot" w:pos="9350"/>
        </w:tabs>
        <w:autoSpaceDE w:val="0"/>
        <w:autoSpaceDN w:val="0"/>
        <w:adjustRightInd w:val="0"/>
        <w:rPr>
          <w:szCs w:val="24"/>
        </w:rPr>
      </w:pPr>
    </w:p>
    <w:p w14:paraId="78370090" w14:textId="77777777" w:rsidR="00210E74" w:rsidRDefault="00210E74" w:rsidP="00210E74">
      <w:pPr>
        <w:autoSpaceDE w:val="0"/>
        <w:autoSpaceDN w:val="0"/>
        <w:adjustRightInd w:val="0"/>
        <w:rPr>
          <w:szCs w:val="24"/>
        </w:rPr>
        <w:sectPr w:rsidR="00210E74" w:rsidSect="005669B3">
          <w:footerReference w:type="default" r:id="rId8"/>
          <w:footnotePr>
            <w:numRestart w:val="eachPage"/>
          </w:footnotePr>
          <w:type w:val="oddPage"/>
          <w:pgSz w:w="12240" w:h="15840"/>
          <w:pgMar w:top="1440" w:right="1440" w:bottom="1440" w:left="1440" w:header="720" w:footer="720" w:gutter="0"/>
          <w:pgBorders w:offsetFrom="page">
            <w:top w:val="single" w:sz="12" w:space="0" w:color="auto"/>
            <w:left w:val="single" w:sz="12" w:space="0" w:color="auto"/>
            <w:bottom w:val="single" w:sz="12" w:space="0" w:color="auto"/>
            <w:right w:val="single" w:sz="12" w:space="0" w:color="auto"/>
          </w:pgBorders>
          <w:pgNumType w:fmt="lowerRoman" w:start="3"/>
          <w:cols w:space="720"/>
        </w:sectPr>
      </w:pPr>
    </w:p>
    <w:p w14:paraId="711D878D" w14:textId="77777777" w:rsidR="00210E74" w:rsidRDefault="00210E74" w:rsidP="00210E74">
      <w:pPr>
        <w:pStyle w:val="Heading2"/>
      </w:pPr>
      <w:bookmarkStart w:id="2" w:name="_Toc485637388"/>
      <w:bookmarkStart w:id="3" w:name="_Toc491333992"/>
      <w:bookmarkStart w:id="4" w:name="_Toc494384133"/>
      <w:bookmarkStart w:id="5" w:name="_Toc497219207"/>
      <w:r>
        <w:lastRenderedPageBreak/>
        <w:t>Recommended Method for Calculating Star Ratings for ICH CAHPS Survey Measures</w:t>
      </w:r>
      <w:bookmarkEnd w:id="2"/>
      <w:bookmarkEnd w:id="3"/>
      <w:bookmarkEnd w:id="4"/>
      <w:bookmarkEnd w:id="5"/>
    </w:p>
    <w:p w14:paraId="14E61427" w14:textId="77777777" w:rsidR="00210E74" w:rsidRDefault="00210E74" w:rsidP="00210E74">
      <w:pPr>
        <w:pStyle w:val="Heading3"/>
      </w:pPr>
      <w:bookmarkStart w:id="6" w:name="_Toc485637389"/>
      <w:bookmarkStart w:id="7" w:name="_Toc491333993"/>
      <w:bookmarkStart w:id="8" w:name="_Toc494384134"/>
      <w:bookmarkStart w:id="9" w:name="_Toc497219208"/>
      <w:r>
        <w:t>1.</w:t>
      </w:r>
      <w:r>
        <w:tab/>
        <w:t>Overview</w:t>
      </w:r>
      <w:bookmarkEnd w:id="6"/>
      <w:bookmarkEnd w:id="7"/>
      <w:bookmarkEnd w:id="8"/>
      <w:bookmarkEnd w:id="9"/>
    </w:p>
    <w:p w14:paraId="599FCD3F" w14:textId="370B3810"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In-center Hemodialysis Consumer Assessment of Healthcare Providers and Systems (ICH CAHPS) Survey is conducted to collect data from patients about the hemodialysis care they receive from </w:t>
      </w:r>
      <w:r w:rsidR="008A4310">
        <w:rPr>
          <w:rFonts w:eastAsiaTheme="minorEastAsia"/>
          <w:szCs w:val="24"/>
        </w:rPr>
        <w:t xml:space="preserve">Medicare-certified </w:t>
      </w:r>
      <w:r>
        <w:rPr>
          <w:rFonts w:eastAsiaTheme="minorEastAsia"/>
          <w:szCs w:val="24"/>
        </w:rPr>
        <w:t>in-center hemodialysis (ICH) facilities. Survey results from the national implementation of the survey are used by consumers to help inform their choice of a hemodialysis center, by ICH facilities in their quality initiatives, and by the Centers for Medicare &amp; Medicaid Services (CMS) to monitor the quality of care provided to patients with end-stage renal disease. The national implementation of the survey is conducted with samples of hemodialysis patients 18 years old and older who receive outpatient hemodialysis for 3 months or longer at their ICH facility.</w:t>
      </w:r>
    </w:p>
    <w:p w14:paraId="6291C2C0" w14:textId="40EAE746" w:rsidR="00210E74" w:rsidRDefault="00210E74" w:rsidP="00210E74">
      <w:pPr>
        <w:pStyle w:val="BodyText"/>
        <w:autoSpaceDE w:val="0"/>
        <w:autoSpaceDN w:val="0"/>
        <w:adjustRightInd w:val="0"/>
        <w:rPr>
          <w:rFonts w:eastAsiaTheme="minorEastAsia"/>
          <w:szCs w:val="24"/>
        </w:rPr>
      </w:pPr>
      <w:r>
        <w:rPr>
          <w:rFonts w:eastAsiaTheme="minorEastAsia"/>
          <w:szCs w:val="24"/>
        </w:rPr>
        <w:t>The ICH CAHPS Survey is conducted on a semiannual basis</w:t>
      </w:r>
      <w:r w:rsidR="008A4310">
        <w:rPr>
          <w:rFonts w:eastAsiaTheme="minorEastAsia"/>
          <w:szCs w:val="24"/>
        </w:rPr>
        <w:t>. The</w:t>
      </w:r>
      <w:r>
        <w:rPr>
          <w:rFonts w:eastAsiaTheme="minorEastAsia"/>
          <w:szCs w:val="24"/>
        </w:rPr>
        <w:t xml:space="preserve"> Spring Survey is </w:t>
      </w:r>
      <w:r w:rsidR="008A4310">
        <w:rPr>
          <w:rFonts w:eastAsiaTheme="minorEastAsia"/>
          <w:szCs w:val="24"/>
        </w:rPr>
        <w:t xml:space="preserve">typically </w:t>
      </w:r>
      <w:r>
        <w:rPr>
          <w:rFonts w:eastAsiaTheme="minorEastAsia"/>
          <w:szCs w:val="24"/>
        </w:rPr>
        <w:t>conducted from April through early July of each year</w:t>
      </w:r>
      <w:r w:rsidR="008A4310">
        <w:rPr>
          <w:rFonts w:eastAsiaTheme="minorEastAsia"/>
          <w:szCs w:val="24"/>
        </w:rPr>
        <w:t>, with sample patients who received in-center hemodialysis in October through December of the previous year</w:t>
      </w:r>
      <w:r>
        <w:rPr>
          <w:rFonts w:eastAsiaTheme="minorEastAsia"/>
          <w:szCs w:val="24"/>
        </w:rPr>
        <w:t xml:space="preserve">. The Fall Survey is conducted from October through early January with </w:t>
      </w:r>
      <w:r w:rsidR="008A4310">
        <w:rPr>
          <w:rFonts w:eastAsiaTheme="minorEastAsia"/>
          <w:szCs w:val="24"/>
        </w:rPr>
        <w:t>sample</w:t>
      </w:r>
      <w:r>
        <w:rPr>
          <w:rFonts w:eastAsiaTheme="minorEastAsia"/>
          <w:szCs w:val="24"/>
        </w:rPr>
        <w:t xml:space="preserve"> patients who receive</w:t>
      </w:r>
      <w:r w:rsidR="008A4310">
        <w:rPr>
          <w:rFonts w:eastAsiaTheme="minorEastAsia"/>
          <w:szCs w:val="24"/>
        </w:rPr>
        <w:t>d</w:t>
      </w:r>
      <w:r>
        <w:rPr>
          <w:rFonts w:eastAsiaTheme="minorEastAsia"/>
          <w:szCs w:val="24"/>
        </w:rPr>
        <w:t xml:space="preserve"> </w:t>
      </w:r>
      <w:r w:rsidR="008A4310">
        <w:rPr>
          <w:rFonts w:eastAsiaTheme="minorEastAsia"/>
          <w:szCs w:val="24"/>
        </w:rPr>
        <w:t>in-center</w:t>
      </w:r>
      <w:r>
        <w:rPr>
          <w:rFonts w:eastAsiaTheme="minorEastAsia"/>
          <w:szCs w:val="24"/>
        </w:rPr>
        <w:t xml:space="preserve"> hemodialysis </w:t>
      </w:r>
      <w:r w:rsidR="008A4310">
        <w:rPr>
          <w:rFonts w:eastAsiaTheme="minorEastAsia"/>
          <w:szCs w:val="24"/>
        </w:rPr>
        <w:t xml:space="preserve">in </w:t>
      </w:r>
      <w:r>
        <w:rPr>
          <w:rFonts w:eastAsiaTheme="minorEastAsia"/>
          <w:szCs w:val="24"/>
        </w:rPr>
        <w:t>April</w:t>
      </w:r>
      <w:r w:rsidR="008A4310">
        <w:rPr>
          <w:rFonts w:eastAsiaTheme="minorEastAsia"/>
          <w:szCs w:val="24"/>
        </w:rPr>
        <w:t xml:space="preserve"> through </w:t>
      </w:r>
      <w:r>
        <w:rPr>
          <w:rFonts w:eastAsiaTheme="minorEastAsia"/>
          <w:szCs w:val="24"/>
        </w:rPr>
        <w:t>June</w:t>
      </w:r>
      <w:r w:rsidR="008A4310">
        <w:rPr>
          <w:rFonts w:eastAsiaTheme="minorEastAsia"/>
          <w:szCs w:val="24"/>
        </w:rPr>
        <w:t xml:space="preserve"> </w:t>
      </w:r>
      <w:r>
        <w:rPr>
          <w:rFonts w:eastAsiaTheme="minorEastAsia"/>
          <w:szCs w:val="24"/>
        </w:rPr>
        <w:t xml:space="preserve">of </w:t>
      </w:r>
      <w:r w:rsidR="008A4310">
        <w:rPr>
          <w:rFonts w:eastAsiaTheme="minorEastAsia"/>
          <w:szCs w:val="24"/>
        </w:rPr>
        <w:t>that</w:t>
      </w:r>
      <w:r>
        <w:rPr>
          <w:rFonts w:eastAsiaTheme="minorEastAsia"/>
          <w:szCs w:val="24"/>
        </w:rPr>
        <w:t xml:space="preserve"> year. Data from the two most recent survey periods are combined and analyzed to produce survey results that are publicly reported on </w:t>
      </w:r>
      <w:r w:rsidR="008A4310">
        <w:rPr>
          <w:rFonts w:eastAsiaTheme="minorEastAsia"/>
          <w:szCs w:val="24"/>
        </w:rPr>
        <w:t xml:space="preserve">Medicare.gov’s </w:t>
      </w:r>
      <w:r w:rsidR="00270FEF">
        <w:rPr>
          <w:rFonts w:eastAsiaTheme="minorEastAsia"/>
          <w:szCs w:val="24"/>
        </w:rPr>
        <w:t>Care Compare</w:t>
      </w:r>
      <w:r>
        <w:rPr>
          <w:rFonts w:eastAsiaTheme="minorEastAsia"/>
          <w:szCs w:val="24"/>
        </w:rPr>
        <w:t xml:space="preserve">. CMS updates the results on the </w:t>
      </w:r>
      <w:r w:rsidR="00270FEF">
        <w:rPr>
          <w:rFonts w:eastAsiaTheme="minorEastAsia"/>
          <w:szCs w:val="24"/>
        </w:rPr>
        <w:t xml:space="preserve">compare tool on Medicare.gov </w:t>
      </w:r>
      <w:r w:rsidR="008A4310">
        <w:rPr>
          <w:rFonts w:eastAsiaTheme="minorEastAsia"/>
          <w:szCs w:val="24"/>
        </w:rPr>
        <w:t>each April and October</w:t>
      </w:r>
      <w:r>
        <w:rPr>
          <w:rFonts w:eastAsiaTheme="minorEastAsia"/>
          <w:szCs w:val="24"/>
        </w:rPr>
        <w:t>. Survey results are publicly reported for each ICH facility that has 30 or more completed surveys combined in the two survey periods included in the public reporting period. The results that are publicly reported are statistically adjusted for mode effects and patient-mix.</w:t>
      </w:r>
    </w:p>
    <w:p w14:paraId="0CE929ED" w14:textId="45AAD64B" w:rsidR="00210E74" w:rsidRDefault="00210E74" w:rsidP="00210E74">
      <w:pPr>
        <w:pStyle w:val="BodyText"/>
        <w:autoSpaceDE w:val="0"/>
        <w:autoSpaceDN w:val="0"/>
        <w:adjustRightInd w:val="0"/>
        <w:rPr>
          <w:rFonts w:eastAsiaTheme="minorEastAsia"/>
          <w:szCs w:val="24"/>
        </w:rPr>
      </w:pPr>
      <w:r>
        <w:rPr>
          <w:rFonts w:eastAsiaTheme="minorEastAsia"/>
          <w:szCs w:val="24"/>
        </w:rPr>
        <w:t>CMS use</w:t>
      </w:r>
      <w:r w:rsidR="005669B3">
        <w:rPr>
          <w:rFonts w:eastAsiaTheme="minorEastAsia"/>
          <w:szCs w:val="24"/>
        </w:rPr>
        <w:t>s</w:t>
      </w:r>
      <w:r>
        <w:rPr>
          <w:rFonts w:eastAsiaTheme="minorEastAsia"/>
          <w:szCs w:val="24"/>
        </w:rPr>
        <w:t xml:space="preserve"> star ratings to publicly report the ICH CAHPS quality measures that are published on the </w:t>
      </w:r>
      <w:r w:rsidR="00270FEF">
        <w:rPr>
          <w:rFonts w:eastAsiaTheme="minorEastAsia"/>
          <w:szCs w:val="24"/>
        </w:rPr>
        <w:t>compare tool on Medicare.gov</w:t>
      </w:r>
      <w:r>
        <w:rPr>
          <w:rFonts w:eastAsiaTheme="minorEastAsia"/>
          <w:szCs w:val="24"/>
        </w:rPr>
        <w:t xml:space="preserve">. Star ratings make it easier for consumers to use the </w:t>
      </w:r>
      <w:r w:rsidR="00270FEF">
        <w:rPr>
          <w:rFonts w:eastAsiaTheme="minorEastAsia"/>
          <w:szCs w:val="24"/>
        </w:rPr>
        <w:t>on Medicare.gov</w:t>
      </w:r>
      <w:r>
        <w:rPr>
          <w:rFonts w:eastAsiaTheme="minorEastAsia"/>
          <w:szCs w:val="24"/>
        </w:rPr>
        <w:t xml:space="preserve"> and spotlight excellence in health care quality. </w:t>
      </w:r>
      <w:r w:rsidR="005536ED" w:rsidRPr="00AA7DE1">
        <w:rPr>
          <w:rFonts w:eastAsiaTheme="minorEastAsia"/>
          <w:szCs w:val="24"/>
        </w:rPr>
        <w:t>Star ratings are generated for each of the three publicly reported ICH CAHPS Survey global ratings (rating of the kidney doctors (nephrologists), dialysis center staff, and dialysis center) and three composite measures (</w:t>
      </w:r>
      <w:r w:rsidR="00B7219D">
        <w:rPr>
          <w:rFonts w:eastAsiaTheme="minorEastAsia"/>
          <w:szCs w:val="24"/>
        </w:rPr>
        <w:t>kidney doctors’ (</w:t>
      </w:r>
      <w:r w:rsidR="005536ED">
        <w:rPr>
          <w:rFonts w:eastAsiaTheme="minorEastAsia"/>
          <w:szCs w:val="24"/>
        </w:rPr>
        <w:t>nephrologists’</w:t>
      </w:r>
      <w:r w:rsidR="00B7219D">
        <w:rPr>
          <w:rFonts w:eastAsiaTheme="minorEastAsia"/>
          <w:szCs w:val="24"/>
        </w:rPr>
        <w:t>)</w:t>
      </w:r>
      <w:r w:rsidR="005536ED" w:rsidRPr="00AA7DE1">
        <w:rPr>
          <w:rFonts w:eastAsiaTheme="minorEastAsia"/>
          <w:szCs w:val="24"/>
        </w:rPr>
        <w:t xml:space="preserve"> communication and caring, quality of dialysis center and operations, and providing information to patients). </w:t>
      </w:r>
      <w:r w:rsidR="005536ED">
        <w:rPr>
          <w:rFonts w:eastAsiaTheme="minorEastAsia"/>
          <w:szCs w:val="24"/>
        </w:rPr>
        <w:t>These individual star ratings are shown in the Provider Data Catalog</w:t>
      </w:r>
      <w:r w:rsidR="005536ED">
        <w:rPr>
          <w:rFonts w:eastAsiaTheme="minorEastAsia"/>
          <w:szCs w:val="24"/>
        </w:rPr>
        <w:t xml:space="preserve"> on Medicare.gov</w:t>
      </w:r>
      <w:r w:rsidR="005536ED">
        <w:rPr>
          <w:rFonts w:eastAsiaTheme="minorEastAsia"/>
          <w:szCs w:val="24"/>
        </w:rPr>
        <w:t>. A</w:t>
      </w:r>
      <w:r w:rsidR="005536ED" w:rsidRPr="00AA7DE1">
        <w:rPr>
          <w:rFonts w:eastAsiaTheme="minorEastAsia"/>
          <w:szCs w:val="24"/>
        </w:rPr>
        <w:t xml:space="preserve">n overall </w:t>
      </w:r>
      <w:r w:rsidR="005536ED">
        <w:rPr>
          <w:rFonts w:eastAsiaTheme="minorEastAsia"/>
          <w:szCs w:val="24"/>
        </w:rPr>
        <w:t>S</w:t>
      </w:r>
      <w:r w:rsidR="005536ED" w:rsidRPr="00AA7DE1">
        <w:rPr>
          <w:rFonts w:eastAsiaTheme="minorEastAsia"/>
          <w:szCs w:val="24"/>
        </w:rPr>
        <w:t xml:space="preserve">urvey summary star rating is calculated and shown on </w:t>
      </w:r>
      <w:r w:rsidR="005536ED">
        <w:rPr>
          <w:rFonts w:eastAsiaTheme="minorEastAsia"/>
          <w:szCs w:val="24"/>
        </w:rPr>
        <w:t xml:space="preserve">Medicare.gov’s Care Compare </w:t>
      </w:r>
      <w:r w:rsidR="005536ED" w:rsidRPr="00AA7DE1">
        <w:rPr>
          <w:rFonts w:eastAsiaTheme="minorEastAsia"/>
          <w:szCs w:val="24"/>
        </w:rPr>
        <w:t>for each dialysis facility</w:t>
      </w:r>
      <w:r w:rsidR="005536ED">
        <w:rPr>
          <w:rFonts w:eastAsiaTheme="minorEastAsia"/>
          <w:szCs w:val="24"/>
        </w:rPr>
        <w:t xml:space="preserve"> – this is called the Patient Survey Rating</w:t>
      </w:r>
      <w:r w:rsidR="005536ED" w:rsidRPr="00AA7DE1">
        <w:rPr>
          <w:rFonts w:eastAsiaTheme="minorEastAsia"/>
          <w:szCs w:val="24"/>
        </w:rPr>
        <w:t xml:space="preserve">. The Survey summary star rating is a simple average of the six </w:t>
      </w:r>
      <w:r w:rsidR="005536ED">
        <w:rPr>
          <w:rFonts w:eastAsiaTheme="minorEastAsia"/>
          <w:szCs w:val="24"/>
        </w:rPr>
        <w:t xml:space="preserve">individual </w:t>
      </w:r>
      <w:r w:rsidR="005536ED" w:rsidRPr="00AA7DE1">
        <w:rPr>
          <w:rFonts w:eastAsiaTheme="minorEastAsia"/>
          <w:szCs w:val="24"/>
        </w:rPr>
        <w:t>star ratings.</w:t>
      </w:r>
    </w:p>
    <w:p w14:paraId="67FA2B55" w14:textId="1CD7CF84"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RTI International, which is assisting CMS with the national implementation of the ICH CAHPS Survey, analyzes ICH CAHPS Survey data to produce survey results that are publicly reported on the </w:t>
      </w:r>
      <w:r w:rsidR="00270FEF">
        <w:rPr>
          <w:rFonts w:eastAsiaTheme="minorEastAsia"/>
          <w:szCs w:val="24"/>
        </w:rPr>
        <w:t>compare tool on Medicare.gov</w:t>
      </w:r>
      <w:r>
        <w:rPr>
          <w:rFonts w:eastAsiaTheme="minorEastAsia"/>
          <w:szCs w:val="24"/>
        </w:rPr>
        <w:t xml:space="preserve">. RTI project staff developed methods for calculating star ratings for ICH facilities participating in the ICH CAHPS Survey. As part of developing a method for calculating star ratings, RTI project staff used data from the 2016 ICH CAHPS Spring and Fall Surveys to calculate linear means for each ICH facility. The linear means for the 2016 ICH Surveys are shown in </w:t>
      </w:r>
      <w:r>
        <w:rPr>
          <w:rFonts w:eastAsiaTheme="minorEastAsia"/>
          <w:b/>
          <w:i/>
          <w:szCs w:val="24"/>
        </w:rPr>
        <w:t>Appendix A</w:t>
      </w:r>
      <w:r>
        <w:rPr>
          <w:rFonts w:eastAsiaTheme="minorEastAsia"/>
          <w:szCs w:val="24"/>
        </w:rPr>
        <w:t xml:space="preserve">. This information is provided for informational purposes only; the linear scores will not be publicly reported on the </w:t>
      </w:r>
      <w:r w:rsidR="00270FEF">
        <w:rPr>
          <w:rFonts w:eastAsiaTheme="minorEastAsia"/>
          <w:szCs w:val="24"/>
        </w:rPr>
        <w:t>compare tool on Medicare.gov</w:t>
      </w:r>
      <w:r>
        <w:rPr>
          <w:rFonts w:eastAsiaTheme="minorEastAsia"/>
          <w:szCs w:val="24"/>
        </w:rPr>
        <w:t xml:space="preserve"> nor will they be provided to participating ICH facilities. Please note that the original report</w:t>
      </w:r>
      <w:r w:rsidR="00B7219D">
        <w:rPr>
          <w:rFonts w:eastAsiaTheme="minorEastAsia"/>
          <w:szCs w:val="24"/>
        </w:rPr>
        <w:t xml:space="preserve"> on star ratings</w:t>
      </w:r>
      <w:r>
        <w:rPr>
          <w:rFonts w:eastAsiaTheme="minorEastAsia"/>
          <w:szCs w:val="24"/>
        </w:rPr>
        <w:t>, submitted in June 2017, was based on 2015 survey data</w:t>
      </w:r>
      <w:r w:rsidR="00B7219D">
        <w:rPr>
          <w:rFonts w:eastAsiaTheme="minorEastAsia"/>
          <w:szCs w:val="24"/>
        </w:rPr>
        <w:t xml:space="preserve"> and then was</w:t>
      </w:r>
      <w:r>
        <w:rPr>
          <w:rFonts w:eastAsiaTheme="minorEastAsia"/>
          <w:szCs w:val="24"/>
        </w:rPr>
        <w:t xml:space="preserve"> revised </w:t>
      </w:r>
      <w:r w:rsidR="00B7219D">
        <w:rPr>
          <w:rFonts w:eastAsiaTheme="minorEastAsia"/>
          <w:szCs w:val="24"/>
        </w:rPr>
        <w:t xml:space="preserve">with using </w:t>
      </w:r>
      <w:r>
        <w:rPr>
          <w:rFonts w:eastAsiaTheme="minorEastAsia"/>
          <w:szCs w:val="24"/>
        </w:rPr>
        <w:t>2016 survey data.</w:t>
      </w:r>
    </w:p>
    <w:p w14:paraId="035D4B9A" w14:textId="77777777" w:rsidR="00210E74" w:rsidRDefault="00210E74" w:rsidP="00210E74">
      <w:pPr>
        <w:pStyle w:val="Heading3"/>
      </w:pPr>
      <w:bookmarkStart w:id="10" w:name="_Toc485637390"/>
      <w:bookmarkStart w:id="11" w:name="_Toc491333994"/>
      <w:bookmarkStart w:id="12" w:name="_Toc494384135"/>
      <w:bookmarkStart w:id="13" w:name="_Toc497219209"/>
      <w:r>
        <w:lastRenderedPageBreak/>
        <w:t>2.</w:t>
      </w:r>
      <w:r>
        <w:tab/>
        <w:t>Method for Producing Star Ratings for the ICH CAHPS Survey Measures</w:t>
      </w:r>
      <w:bookmarkEnd w:id="10"/>
      <w:bookmarkEnd w:id="11"/>
      <w:bookmarkEnd w:id="12"/>
      <w:bookmarkEnd w:id="13"/>
    </w:p>
    <w:p w14:paraId="2D29FFC1" w14:textId="1DD6DECE"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ICH CAHPS measures that are publicly reported on the </w:t>
      </w:r>
      <w:r w:rsidR="00B7219D">
        <w:rPr>
          <w:rFonts w:eastAsiaTheme="minorEastAsia"/>
          <w:szCs w:val="24"/>
        </w:rPr>
        <w:t>Medicare.gov’s Care Compare</w:t>
      </w:r>
      <w:r>
        <w:rPr>
          <w:rFonts w:eastAsiaTheme="minorEastAsia"/>
          <w:szCs w:val="24"/>
        </w:rPr>
        <w:t xml:space="preserve"> and a description of the method for producing star ratings for these measures are described in the following sections.</w:t>
      </w:r>
    </w:p>
    <w:p w14:paraId="3F455A6B" w14:textId="572E57A1" w:rsidR="00210E74" w:rsidRDefault="00210E74" w:rsidP="00210E74">
      <w:pPr>
        <w:pStyle w:val="Heading4"/>
      </w:pPr>
      <w:bookmarkStart w:id="14" w:name="_Toc485637391"/>
      <w:bookmarkStart w:id="15" w:name="_Toc491333995"/>
      <w:bookmarkStart w:id="16" w:name="_Toc494384136"/>
      <w:bookmarkStart w:id="17" w:name="_Toc497219210"/>
      <w:r>
        <w:t>2.1</w:t>
      </w:r>
      <w:r>
        <w:tab/>
        <w:t>ICH CAHPS Measures That Receive a Star Rating</w:t>
      </w:r>
      <w:bookmarkEnd w:id="14"/>
      <w:bookmarkEnd w:id="15"/>
      <w:bookmarkEnd w:id="16"/>
      <w:bookmarkEnd w:id="17"/>
    </w:p>
    <w:p w14:paraId="62AA8366" w14:textId="27E4B0AE"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ICH CAHPS star ratings </w:t>
      </w:r>
      <w:r w:rsidR="005669B3">
        <w:rPr>
          <w:rFonts w:eastAsiaTheme="minorEastAsia"/>
          <w:szCs w:val="24"/>
        </w:rPr>
        <w:t>are</w:t>
      </w:r>
      <w:r>
        <w:rPr>
          <w:rFonts w:eastAsiaTheme="minorEastAsia"/>
          <w:szCs w:val="24"/>
        </w:rPr>
        <w:t xml:space="preserve"> applied to each of the three publicly reported global ratings and three composite measures, which are created from specific questions on the ICH CAHPS Survey, as shown below.</w:t>
      </w:r>
    </w:p>
    <w:p w14:paraId="427FD9AA" w14:textId="0858D865" w:rsidR="00210E74" w:rsidRPr="00B7219D" w:rsidRDefault="00210E74" w:rsidP="00210E74">
      <w:pPr>
        <w:pStyle w:val="bullets"/>
      </w:pPr>
      <w:r w:rsidRPr="00B7219D">
        <w:t xml:space="preserve">Global rating of </w:t>
      </w:r>
      <w:r w:rsidR="00B7219D" w:rsidRPr="00B7219D">
        <w:t>kidney doctors</w:t>
      </w:r>
      <w:r w:rsidRPr="00B7219D">
        <w:t xml:space="preserve"> (calculated from Q8 in the survey)</w:t>
      </w:r>
    </w:p>
    <w:p w14:paraId="3DCE2108" w14:textId="77777777" w:rsidR="00210E74" w:rsidRDefault="00210E74" w:rsidP="00210E74">
      <w:pPr>
        <w:pStyle w:val="bullets"/>
      </w:pPr>
      <w:r>
        <w:t>Global rating of dialysis center staff (calculated from survey Q32)</w:t>
      </w:r>
    </w:p>
    <w:p w14:paraId="27D5F451" w14:textId="77777777" w:rsidR="00210E74" w:rsidRDefault="00210E74" w:rsidP="00210E74">
      <w:pPr>
        <w:pStyle w:val="bullets"/>
      </w:pPr>
      <w:r>
        <w:t>Global rating of dialysis center (calculated from survey Q35)</w:t>
      </w:r>
    </w:p>
    <w:p w14:paraId="560A9B0B" w14:textId="3D819520" w:rsidR="00210E74" w:rsidRDefault="00210E74" w:rsidP="00210E74">
      <w:pPr>
        <w:pStyle w:val="bullets"/>
      </w:pPr>
      <w:r w:rsidRPr="00B7219D">
        <w:t xml:space="preserve">Six questions that comprise the </w:t>
      </w:r>
      <w:r w:rsidR="00B7219D">
        <w:t>Kidney Doctors’ (</w:t>
      </w:r>
      <w:r w:rsidRPr="00B7219D">
        <w:t>Nephrologists’</w:t>
      </w:r>
      <w:r w:rsidR="00B7219D">
        <w:t>) C</w:t>
      </w:r>
      <w:r w:rsidRPr="00B7219D">
        <w:t xml:space="preserve">ommunication and </w:t>
      </w:r>
      <w:r w:rsidR="00B7219D">
        <w:t>C</w:t>
      </w:r>
      <w:r w:rsidRPr="00B7219D">
        <w:t>aring composite (Qs 3, 4, 5, 6, 7, and 9)</w:t>
      </w:r>
    </w:p>
    <w:p w14:paraId="6FEAEA1B" w14:textId="4CBFB2C6" w:rsidR="00210E74" w:rsidRDefault="00210E74" w:rsidP="00210E74">
      <w:pPr>
        <w:pStyle w:val="bullets"/>
      </w:pPr>
      <w:r>
        <w:t xml:space="preserve">Seventeen questions that comprise the Quality of </w:t>
      </w:r>
      <w:r w:rsidR="00B7219D">
        <w:t>D</w:t>
      </w:r>
      <w:r>
        <w:t xml:space="preserve">ialysis </w:t>
      </w:r>
      <w:r w:rsidR="00B7219D">
        <w:t>C</w:t>
      </w:r>
      <w:r>
        <w:t xml:space="preserve">enter and </w:t>
      </w:r>
      <w:r w:rsidR="00B7219D">
        <w:t>O</w:t>
      </w:r>
      <w:r>
        <w:t>perations composite (Qs 10, 11, 12, 13, 14, 15, 16, 17, 21</w:t>
      </w:r>
      <w:r w:rsidR="00021B05">
        <w:rPr>
          <w:rStyle w:val="FootnoteReference"/>
        </w:rPr>
        <w:footnoteReference w:customMarkFollows="1" w:id="1"/>
        <w:t>*</w:t>
      </w:r>
      <w:r>
        <w:t>, 22, 24, 25, 26, 27, 33, 34, and 43)</w:t>
      </w:r>
    </w:p>
    <w:p w14:paraId="22240A57" w14:textId="198C6974" w:rsidR="00210E74" w:rsidRDefault="00210E74" w:rsidP="00210E74">
      <w:pPr>
        <w:pStyle w:val="bullets"/>
      </w:pPr>
      <w:r>
        <w:t xml:space="preserve">Nine questions that comprise the Providing </w:t>
      </w:r>
      <w:r w:rsidR="00B7219D">
        <w:t>I</w:t>
      </w:r>
      <w:r>
        <w:t xml:space="preserve">nformation to </w:t>
      </w:r>
      <w:r w:rsidR="00B7219D">
        <w:t>P</w:t>
      </w:r>
      <w:r>
        <w:t>atients composite (calculated from survey Qs 19, 28, 29, 30, 31, 36, 38, 39, and 40)</w:t>
      </w:r>
    </w:p>
    <w:p w14:paraId="5BAD813F" w14:textId="0A2442B7" w:rsidR="00210E74" w:rsidRDefault="007F3F0F" w:rsidP="00210E74">
      <w:pPr>
        <w:pStyle w:val="bullets"/>
      </w:pPr>
      <w:r>
        <w:t>T</w:t>
      </w:r>
      <w:r w:rsidR="00210E74">
        <w:t xml:space="preserve">op-box scores are published on the </w:t>
      </w:r>
      <w:r w:rsidR="00270FEF">
        <w:rPr>
          <w:rFonts w:eastAsiaTheme="minorEastAsia"/>
          <w:szCs w:val="24"/>
        </w:rPr>
        <w:t>compare tool on Medicare.gov</w:t>
      </w:r>
      <w:r w:rsidR="00210E74">
        <w:t xml:space="preserve"> for each of these six measures.</w:t>
      </w:r>
      <w:r>
        <w:t xml:space="preserve"> </w:t>
      </w:r>
    </w:p>
    <w:p w14:paraId="579F5557" w14:textId="6E7C11FC" w:rsidR="00B7219D" w:rsidRDefault="00B7219D" w:rsidP="00B7219D">
      <w:pPr>
        <w:pStyle w:val="bullets"/>
      </w:pPr>
      <w:r>
        <w:t xml:space="preserve">The individual star ratings for these </w:t>
      </w:r>
      <w:r w:rsidR="007F3F0F">
        <w:t>six</w:t>
      </w:r>
      <w:r>
        <w:t xml:space="preserve"> measures are combined to create an overall survey </w:t>
      </w:r>
      <w:r w:rsidRPr="00AA7DE1">
        <w:t>summary star rating</w:t>
      </w:r>
      <w:r>
        <w:t xml:space="preserve">, called the Patient Survey Rating on </w:t>
      </w:r>
      <w:r>
        <w:t>Medicare.gov’s Care Compare</w:t>
      </w:r>
      <w:r w:rsidR="007F3F0F">
        <w:t>,</w:t>
      </w:r>
      <w:r>
        <w:t xml:space="preserve"> </w:t>
      </w:r>
      <w:r w:rsidRPr="00AA7DE1">
        <w:t>for each dialysis facility.</w:t>
      </w:r>
      <w:r>
        <w:t xml:space="preserve"> The individual star ratings for each of the </w:t>
      </w:r>
      <w:r w:rsidR="007F3F0F">
        <w:t>six</w:t>
      </w:r>
      <w:r>
        <w:t xml:space="preserve"> measures can be found in the Provider Data Catalog. </w:t>
      </w:r>
    </w:p>
    <w:p w14:paraId="2A443F54" w14:textId="77777777" w:rsidR="00210E74" w:rsidRDefault="00210E74" w:rsidP="00210E74">
      <w:pPr>
        <w:pStyle w:val="Heading4"/>
      </w:pPr>
      <w:bookmarkStart w:id="18" w:name="_Toc485637392"/>
      <w:bookmarkStart w:id="19" w:name="_Toc491333996"/>
      <w:bookmarkStart w:id="20" w:name="_Toc494384137"/>
      <w:bookmarkStart w:id="21" w:name="_Toc497219211"/>
      <w:r>
        <w:t>2.2</w:t>
      </w:r>
      <w:r>
        <w:tab/>
        <w:t>Methods for Calculating Star Rating</w:t>
      </w:r>
      <w:bookmarkStart w:id="22" w:name="page2"/>
      <w:bookmarkEnd w:id="22"/>
      <w:bookmarkEnd w:id="18"/>
      <w:bookmarkEnd w:id="19"/>
      <w:bookmarkEnd w:id="20"/>
      <w:bookmarkEnd w:id="21"/>
    </w:p>
    <w:p w14:paraId="173E5382" w14:textId="164E9898"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methodology that </w:t>
      </w:r>
      <w:r w:rsidR="007F3F0F">
        <w:rPr>
          <w:rFonts w:eastAsiaTheme="minorEastAsia"/>
          <w:szCs w:val="24"/>
        </w:rPr>
        <w:t>is</w:t>
      </w:r>
      <w:r>
        <w:rPr>
          <w:rFonts w:eastAsiaTheme="minorEastAsia"/>
          <w:szCs w:val="24"/>
        </w:rPr>
        <w:t xml:space="preserve"> used to calculate a star rating for each ICH CAHPS Survey measure that is publicly reported is described below.</w:t>
      </w:r>
    </w:p>
    <w:p w14:paraId="4D165B79" w14:textId="77777777" w:rsidR="00210E74" w:rsidRDefault="00210E74" w:rsidP="00210E74">
      <w:pPr>
        <w:pStyle w:val="Heading5"/>
      </w:pPr>
      <w:r>
        <w:t>a.</w:t>
      </w:r>
      <w:r>
        <w:tab/>
        <w:t>Construction and Adjustment of ICH CAHPS Linear Scores</w:t>
      </w:r>
    </w:p>
    <w:p w14:paraId="6DC0021A" w14:textId="2EFCC5D5"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responses to the survey items used in each ICH CAHPS measure </w:t>
      </w:r>
      <w:r w:rsidR="007F3F0F">
        <w:rPr>
          <w:rFonts w:eastAsiaTheme="minorEastAsia"/>
          <w:szCs w:val="24"/>
        </w:rPr>
        <w:t>are</w:t>
      </w:r>
      <w:r>
        <w:rPr>
          <w:rFonts w:eastAsiaTheme="minorEastAsia"/>
          <w:szCs w:val="24"/>
        </w:rPr>
        <w:t xml:space="preserve"> combined as needed and converted to a 0–100 linear-scaled score. Responses to the ICH CAHPS Survey are converted to linear scores in the following manner:</w:t>
      </w:r>
    </w:p>
    <w:p w14:paraId="7A1D94C8" w14:textId="77777777" w:rsidR="00210E74" w:rsidRDefault="00210E74" w:rsidP="007F3F0F">
      <w:pPr>
        <w:pStyle w:val="bullets"/>
        <w:numPr>
          <w:ilvl w:val="0"/>
          <w:numId w:val="0"/>
        </w:numPr>
        <w:spacing w:after="120"/>
        <w:ind w:left="1080" w:hanging="360"/>
      </w:pPr>
      <w:r>
        <w:t xml:space="preserve">For ICH CAHPS Survey global ratings (Survey items </w:t>
      </w:r>
      <w:r w:rsidRPr="007F3F0F">
        <w:t>8</w:t>
      </w:r>
      <w:r>
        <w:t>, 32, and 35)</w:t>
      </w:r>
    </w:p>
    <w:p w14:paraId="5BE1A7E1" w14:textId="77777777" w:rsidR="00210E74" w:rsidRDefault="00210E74" w:rsidP="00210E74">
      <w:pPr>
        <w:pStyle w:val="bullets"/>
      </w:pPr>
      <w:r>
        <w:lastRenderedPageBreak/>
        <w:t>Overall Rating “0” = 0; Overall Rating “1” = 10; Overall Rating “2” = 20; …; Overall Rating “10” = 100</w:t>
      </w:r>
    </w:p>
    <w:p w14:paraId="7AF239E0" w14:textId="77777777"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For ICH CAHPS Survey items 9, </w:t>
      </w:r>
      <w:r w:rsidRPr="007F3F0F">
        <w:rPr>
          <w:rFonts w:eastAsiaTheme="minorEastAsia"/>
          <w:szCs w:val="24"/>
        </w:rPr>
        <w:t>16</w:t>
      </w:r>
      <w:r>
        <w:rPr>
          <w:rFonts w:eastAsiaTheme="minorEastAsia"/>
          <w:szCs w:val="24"/>
        </w:rPr>
        <w:t xml:space="preserve">, 17, 19, </w:t>
      </w:r>
      <w:r w:rsidRPr="007F3F0F">
        <w:rPr>
          <w:rFonts w:eastAsiaTheme="minorEastAsia"/>
          <w:szCs w:val="24"/>
        </w:rPr>
        <w:t>26</w:t>
      </w:r>
      <w:r>
        <w:rPr>
          <w:rFonts w:eastAsiaTheme="minorEastAsia"/>
          <w:szCs w:val="24"/>
        </w:rPr>
        <w:t>, 28-31, 36, and 38-40:</w:t>
      </w:r>
    </w:p>
    <w:p w14:paraId="39A35018" w14:textId="77777777" w:rsidR="00210E74" w:rsidRDefault="00210E74" w:rsidP="00210E74">
      <w:pPr>
        <w:pStyle w:val="bullets"/>
        <w:spacing w:after="120"/>
      </w:pPr>
      <w:r>
        <w:t>“No” = 0; and “Yes” = 100</w:t>
      </w:r>
    </w:p>
    <w:p w14:paraId="49447D2A" w14:textId="5C903065" w:rsidR="00210E74" w:rsidRDefault="00210E74" w:rsidP="007F3F0F">
      <w:pPr>
        <w:pStyle w:val="bullets"/>
        <w:numPr>
          <w:ilvl w:val="0"/>
          <w:numId w:val="0"/>
        </w:numPr>
        <w:spacing w:after="120"/>
        <w:ind w:left="720"/>
      </w:pPr>
      <w:r>
        <w:t xml:space="preserve">For ICH CAHPS Survey items 3-7, 10-15, </w:t>
      </w:r>
      <w:r w:rsidRPr="007F3F0F">
        <w:t>21</w:t>
      </w:r>
      <w:r w:rsidR="00021B05" w:rsidRPr="007F3F0F">
        <w:rPr>
          <w:rStyle w:val="FootnoteReference"/>
        </w:rPr>
        <w:footnoteReference w:customMarkFollows="1" w:id="2"/>
        <w:t>*</w:t>
      </w:r>
      <w:r>
        <w:t>, 22, 24, 25, 27, 33, 34, and 43:</w:t>
      </w:r>
    </w:p>
    <w:p w14:paraId="638282EE" w14:textId="2A0324EF" w:rsidR="00210E74" w:rsidRDefault="00210E74" w:rsidP="00210E74">
      <w:pPr>
        <w:pStyle w:val="bullets"/>
      </w:pPr>
      <w:r>
        <w:t>1 = 0; 2 = 33 1/3; 3 = 66 2/3; and 4 = 100</w:t>
      </w:r>
    </w:p>
    <w:p w14:paraId="20E5DA07" w14:textId="5454EB21"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0–100 linear-scaled ICH CAHPS scores </w:t>
      </w:r>
      <w:r w:rsidR="007F3F0F">
        <w:rPr>
          <w:rFonts w:eastAsiaTheme="minorEastAsia"/>
          <w:szCs w:val="24"/>
        </w:rPr>
        <w:t>are</w:t>
      </w:r>
      <w:r>
        <w:rPr>
          <w:rFonts w:eastAsiaTheme="minorEastAsia"/>
          <w:szCs w:val="24"/>
        </w:rPr>
        <w:t xml:space="preserve"> statistically adjusted for data collection mode and for patient-mix to account for the tendency of certain patient subgroups to respond more positively or negatively to the ICH CAHPS Survey based on data collection mode and specific patient characteristics. Patient</w:t>
      </w:r>
      <w:r w:rsidR="007F3F0F">
        <w:rPr>
          <w:rFonts w:eastAsiaTheme="minorEastAsia"/>
          <w:szCs w:val="24"/>
        </w:rPr>
        <w:t>-</w:t>
      </w:r>
      <w:r>
        <w:rPr>
          <w:rFonts w:eastAsiaTheme="minorEastAsia"/>
          <w:szCs w:val="24"/>
        </w:rPr>
        <w:t>mix adjustment allows for fair comparisons across all CCNs (CMS Certification Numbers) or ICH facilities by adjusting their scores as if all CCNs had an identical mix of patient characteristics. The patient</w:t>
      </w:r>
      <w:r w:rsidR="007F3F0F">
        <w:rPr>
          <w:rFonts w:eastAsiaTheme="minorEastAsia"/>
          <w:szCs w:val="24"/>
        </w:rPr>
        <w:t>-</w:t>
      </w:r>
      <w:r>
        <w:rPr>
          <w:rFonts w:eastAsiaTheme="minorEastAsia"/>
          <w:szCs w:val="24"/>
        </w:rPr>
        <w:t xml:space="preserve">mix adjustment factors and coefficients for the 2016 ICH CAHPS Surveys are shown in Table 1 in </w:t>
      </w:r>
      <w:r>
        <w:rPr>
          <w:rFonts w:eastAsiaTheme="minorEastAsia"/>
          <w:b/>
          <w:i/>
          <w:szCs w:val="24"/>
        </w:rPr>
        <w:t>Appendix A</w:t>
      </w:r>
      <w:r>
        <w:rPr>
          <w:rFonts w:eastAsiaTheme="minorEastAsia"/>
          <w:szCs w:val="24"/>
        </w:rPr>
        <w:t>, while Table 2 in</w:t>
      </w:r>
      <w:r>
        <w:rPr>
          <w:rFonts w:eastAsiaTheme="minorEastAsia"/>
          <w:b/>
          <w:szCs w:val="24"/>
        </w:rPr>
        <w:t xml:space="preserve"> </w:t>
      </w:r>
      <w:r>
        <w:rPr>
          <w:rFonts w:eastAsiaTheme="minorEastAsia"/>
          <w:b/>
          <w:i/>
          <w:szCs w:val="24"/>
        </w:rPr>
        <w:t>Appendix A</w:t>
      </w:r>
      <w:r>
        <w:rPr>
          <w:rFonts w:eastAsiaTheme="minorEastAsia"/>
          <w:szCs w:val="24"/>
        </w:rPr>
        <w:t xml:space="preserve"> contains the national means for patient-mix</w:t>
      </w:r>
      <w:r>
        <w:rPr>
          <w:rFonts w:eastAsiaTheme="minorEastAsia"/>
          <w:b/>
          <w:szCs w:val="24"/>
        </w:rPr>
        <w:t xml:space="preserve"> </w:t>
      </w:r>
      <w:r>
        <w:rPr>
          <w:rFonts w:eastAsiaTheme="minorEastAsia"/>
          <w:szCs w:val="24"/>
        </w:rPr>
        <w:t xml:space="preserve">variables. </w:t>
      </w:r>
    </w:p>
    <w:p w14:paraId="2CE9F1CC" w14:textId="24C681FC"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Averages of ICH CAHPS linear scores across two survey periods </w:t>
      </w:r>
      <w:r w:rsidR="007F3F0F">
        <w:rPr>
          <w:rFonts w:eastAsiaTheme="minorEastAsia"/>
          <w:szCs w:val="24"/>
        </w:rPr>
        <w:t>are</w:t>
      </w:r>
      <w:r>
        <w:rPr>
          <w:rFonts w:eastAsiaTheme="minorEastAsia"/>
          <w:szCs w:val="24"/>
        </w:rPr>
        <w:t xml:space="preserve"> rounded to integer values using standard rounding rules, as follows:</w:t>
      </w:r>
    </w:p>
    <w:p w14:paraId="25EDDBE1" w14:textId="77777777" w:rsidR="00210E74" w:rsidRDefault="00210E74" w:rsidP="00210E74">
      <w:pPr>
        <w:pStyle w:val="bullets"/>
        <w:spacing w:after="120"/>
      </w:pPr>
      <w:r>
        <w:t>Let X represent the unrounded two-period average for an ICH CAHPS linear score.</w:t>
      </w:r>
    </w:p>
    <w:p w14:paraId="31190621" w14:textId="77777777" w:rsidR="00210E74" w:rsidRDefault="00210E74" w:rsidP="00210E74">
      <w:pPr>
        <w:pStyle w:val="bullets"/>
        <w:spacing w:after="120"/>
      </w:pPr>
      <w:r>
        <w:t>If X is less than [X.5], then round down to nearest whole integer.</w:t>
      </w:r>
    </w:p>
    <w:p w14:paraId="280CED17" w14:textId="77777777" w:rsidR="00210E74" w:rsidRDefault="00210E74" w:rsidP="00210E74">
      <w:pPr>
        <w:pStyle w:val="bullets"/>
      </w:pPr>
      <w:r>
        <w:t>If X is equal to or greater than [X.5], then round up to nearest whole integer.</w:t>
      </w:r>
    </w:p>
    <w:p w14:paraId="12F061AD" w14:textId="77777777" w:rsidR="00210E74" w:rsidRDefault="00210E74" w:rsidP="00210E74">
      <w:pPr>
        <w:pStyle w:val="Heading5"/>
      </w:pPr>
      <w:r>
        <w:t>b.</w:t>
      </w:r>
      <w:r>
        <w:tab/>
        <w:t>Conversion of Linear Scores Into ICH CAHPS Star Ratings</w:t>
      </w:r>
    </w:p>
    <w:p w14:paraId="2ADFE6EA" w14:textId="02E2B780"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After the ICH CAHPS scores are linearized, adjusted, and rounded, we assign 1, 2, 3, 4, or 5 </w:t>
      </w:r>
      <w:r>
        <w:rPr>
          <w:rFonts w:eastAsiaTheme="minorEastAsia"/>
          <w:i/>
          <w:szCs w:val="24"/>
        </w:rPr>
        <w:t>whole stars</w:t>
      </w:r>
      <w:r>
        <w:rPr>
          <w:rFonts w:eastAsiaTheme="minorEastAsia"/>
          <w:szCs w:val="24"/>
        </w:rPr>
        <w:t xml:space="preserve"> (only whole stars </w:t>
      </w:r>
      <w:r w:rsidR="005669B3">
        <w:rPr>
          <w:rFonts w:eastAsiaTheme="minorEastAsia"/>
          <w:szCs w:val="24"/>
        </w:rPr>
        <w:t>are</w:t>
      </w:r>
      <w:r>
        <w:rPr>
          <w:rFonts w:eastAsiaTheme="minorEastAsia"/>
          <w:szCs w:val="24"/>
        </w:rPr>
        <w:t xml:space="preserve"> assigned; partial stars </w:t>
      </w:r>
      <w:r w:rsidR="005669B3">
        <w:rPr>
          <w:rFonts w:eastAsiaTheme="minorEastAsia"/>
          <w:szCs w:val="24"/>
        </w:rPr>
        <w:t>are not</w:t>
      </w:r>
      <w:r>
        <w:rPr>
          <w:rFonts w:eastAsiaTheme="minorEastAsia"/>
          <w:szCs w:val="24"/>
        </w:rPr>
        <w:t xml:space="preserve"> used) for each of the six ICH CAHPS measures by applying statistical methods that use relative distribution and clustering. We determine the star rating for each of the six ICH CAHPS measures by applying a clustering algorithm to the individual measure scores. Conceptually, the clustering algorithm identifies the “gaps” in the data and creates five categories (one for each star rating) such that scores of CCNs in the same score category (star rating) are as similar as possible, and scores of CCNs in different categories are as different as possible. The clustering algorithm that we use is the same one used by CMS to determine star ratings for most of the Medicare Part C and Part D measures, the Home Health CAHPS (HHCAHPS) Survey, and the Hospital CAHPS Survey.</w:t>
      </w:r>
    </w:p>
    <w:p w14:paraId="6AAA7A45" w14:textId="77777777"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goal of the clustering algorithm is to minimize the differences within each cluster and maximize the differences between each cluster. The variance in measure scores is separated into within- and between-cluster sum of squares components. The algorithm develops clusters that minimize the variance of measure scores within the clusters. More specifically, the clustering algorithm minimizes the within-cluster sum of squares for each of the star ratings levels. Additional information about the clustering method is provided in </w:t>
      </w:r>
      <w:r>
        <w:rPr>
          <w:rFonts w:eastAsiaTheme="minorEastAsia"/>
          <w:b/>
          <w:i/>
          <w:szCs w:val="24"/>
        </w:rPr>
        <w:t>Appendix B</w:t>
      </w:r>
      <w:r>
        <w:rPr>
          <w:rFonts w:eastAsiaTheme="minorEastAsia"/>
          <w:szCs w:val="24"/>
        </w:rPr>
        <w:t>.</w:t>
      </w:r>
    </w:p>
    <w:p w14:paraId="29218C0C" w14:textId="25884303"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The cut points (boundaries) for star assignments are derived from the range of individual measures per cluster. The star levels associated with each cluster are determined by ordering the means of </w:t>
      </w:r>
      <w:r>
        <w:rPr>
          <w:rFonts w:eastAsiaTheme="minorEastAsia"/>
          <w:szCs w:val="24"/>
        </w:rPr>
        <w:lastRenderedPageBreak/>
        <w:t xml:space="preserve">each cluster. The cut points for ICH CAHPS star ratings for the two 2016 ICH CAHPS Surveys are shown in </w:t>
      </w:r>
      <w:r>
        <w:rPr>
          <w:rFonts w:eastAsiaTheme="minorEastAsia"/>
          <w:b/>
          <w:i/>
          <w:szCs w:val="24"/>
        </w:rPr>
        <w:t>Appendix C</w:t>
      </w:r>
      <w:r>
        <w:rPr>
          <w:rFonts w:eastAsiaTheme="minorEastAsia"/>
          <w:szCs w:val="24"/>
        </w:rPr>
        <w:t xml:space="preserve">. Cut points </w:t>
      </w:r>
      <w:r w:rsidR="007F3F0F">
        <w:rPr>
          <w:rFonts w:eastAsiaTheme="minorEastAsia"/>
          <w:szCs w:val="24"/>
        </w:rPr>
        <w:t>are</w:t>
      </w:r>
      <w:r>
        <w:rPr>
          <w:rFonts w:eastAsiaTheme="minorEastAsia"/>
          <w:szCs w:val="24"/>
        </w:rPr>
        <w:t xml:space="preserve"> recalculated for each reporting period.</w:t>
      </w:r>
    </w:p>
    <w:p w14:paraId="0706802E" w14:textId="6FB01EAB" w:rsidR="00210E74" w:rsidRDefault="00210E74" w:rsidP="00210E74">
      <w:pPr>
        <w:pStyle w:val="BodyText"/>
        <w:autoSpaceDE w:val="0"/>
        <w:autoSpaceDN w:val="0"/>
        <w:adjustRightInd w:val="0"/>
        <w:rPr>
          <w:rFonts w:eastAsiaTheme="minorEastAsia"/>
          <w:szCs w:val="24"/>
        </w:rPr>
      </w:pPr>
      <w:r>
        <w:rPr>
          <w:rFonts w:eastAsiaTheme="minorEastAsia"/>
          <w:szCs w:val="24"/>
        </w:rPr>
        <w:t>Consideration has been given to identifying outliers before implementing the clustering procedure. If outliers are eliminated, it could reduce the within-cluster variability. It could potentially improve the consistency of cut point ranges between reporting periods. It should be noted that CAHPS scores are often skewed and non-normal so the methodology from Hubert and Vandervieren’s adjusted box plot</w:t>
      </w:r>
      <w:r w:rsidRPr="00286E71">
        <w:rPr>
          <w:rStyle w:val="FootnoteReference"/>
        </w:rPr>
        <w:footnoteReference w:id="3"/>
      </w:r>
      <w:r>
        <w:rPr>
          <w:rFonts w:eastAsiaTheme="minorEastAsia"/>
          <w:szCs w:val="24"/>
        </w:rPr>
        <w:t xml:space="preserve"> that incorporates the medcouple was used to flag outliers. Once the outliers are removed and the cut points are generated, the outliers were reincorporated back into the star assignments as a 1-star or 5-star </w:t>
      </w:r>
      <w:r w:rsidR="007F3F0F">
        <w:rPr>
          <w:rFonts w:eastAsiaTheme="minorEastAsia"/>
          <w:szCs w:val="24"/>
        </w:rPr>
        <w:t>facility</w:t>
      </w:r>
      <w:r>
        <w:rPr>
          <w:rFonts w:eastAsiaTheme="minorEastAsia"/>
          <w:szCs w:val="24"/>
        </w:rPr>
        <w:t>. However, investigation of this method showed that the removal of outliers was not found to improve the consistency of star ratings between reporting periods. At this time, outliers will remain in the analysis, which parallels the methodology in other CAHPS projects.</w:t>
      </w:r>
    </w:p>
    <w:p w14:paraId="1F7013B1" w14:textId="77777777" w:rsidR="00210E74" w:rsidRDefault="00210E74" w:rsidP="00210E74">
      <w:pPr>
        <w:pStyle w:val="Heading5"/>
      </w:pPr>
      <w:r>
        <w:t>c.</w:t>
      </w:r>
      <w:r>
        <w:tab/>
        <w:t>Calculating an ICH CAHPS Summary Star Rating</w:t>
      </w:r>
    </w:p>
    <w:p w14:paraId="29B042DF" w14:textId="771489FE" w:rsidR="00210E74" w:rsidRDefault="00210E74" w:rsidP="00210E74">
      <w:pPr>
        <w:pStyle w:val="BodyText"/>
        <w:autoSpaceDE w:val="0"/>
        <w:autoSpaceDN w:val="0"/>
        <w:adjustRightInd w:val="0"/>
        <w:rPr>
          <w:rFonts w:eastAsiaTheme="minorEastAsia"/>
          <w:szCs w:val="24"/>
        </w:rPr>
      </w:pPr>
      <w:r>
        <w:rPr>
          <w:rFonts w:eastAsiaTheme="minorEastAsia"/>
          <w:szCs w:val="24"/>
        </w:rPr>
        <w:t>CMS publish</w:t>
      </w:r>
      <w:r w:rsidR="00251F0C">
        <w:rPr>
          <w:rFonts w:eastAsiaTheme="minorEastAsia"/>
          <w:szCs w:val="24"/>
        </w:rPr>
        <w:t>es</w:t>
      </w:r>
      <w:r>
        <w:rPr>
          <w:rFonts w:eastAsiaTheme="minorEastAsia"/>
          <w:szCs w:val="24"/>
        </w:rPr>
        <w:t xml:space="preserve"> an ICH CAHPS Survey summary star rating</w:t>
      </w:r>
      <w:r w:rsidR="007F3F0F">
        <w:rPr>
          <w:rFonts w:eastAsiaTheme="minorEastAsia"/>
          <w:szCs w:val="24"/>
        </w:rPr>
        <w:t xml:space="preserve"> on Medicare.gov’s Care Compare</w:t>
      </w:r>
      <w:r>
        <w:rPr>
          <w:rFonts w:eastAsiaTheme="minorEastAsia"/>
          <w:szCs w:val="24"/>
        </w:rPr>
        <w:t>, which is the average of all star ratings of the ICH CAHPS measures—the three global ratings and the three composite measures for each participating ICH facility. To calculate the summary star rating, we combine the star ratings for the six ICH CAHPS measures as a simple average. We apply the standard rounding rules described above to the six-measure average to arrive at the ICH CAHPS Survey summary star rating (1, 2, 3, 4, or 5 stars). The following is an example of calculation of an ICH CAHPS Survey summary star rating.</w:t>
      </w:r>
    </w:p>
    <w:p w14:paraId="6A02291F" w14:textId="77777777" w:rsidR="00210E74" w:rsidRPr="00877DEB" w:rsidRDefault="00210E74" w:rsidP="00210E74">
      <w:pPr>
        <w:pStyle w:val="table-titlecontinued"/>
        <w:rPr>
          <w:rFonts w:eastAsiaTheme="minorEastAsia"/>
          <w:szCs w:val="24"/>
        </w:rPr>
      </w:pPr>
      <w:r>
        <w:t>Example Calculation of an ICH CAHPS Survey Summary Star Rating</w:t>
      </w:r>
    </w:p>
    <w:p w14:paraId="6FF0685E" w14:textId="77777777" w:rsidR="00210E74" w:rsidRDefault="00210E74" w:rsidP="00210E74">
      <w:pPr>
        <w:pStyle w:val="body-textcontinued"/>
      </w:pPr>
      <w:r>
        <w:rPr>
          <w:b/>
        </w:rPr>
        <w:t>Step 1: Average the six star ratings</w:t>
      </w:r>
      <w:r>
        <w:t>. In this example, the individual star ratings are 4, 3, 4, 4, 3, and 3. These ratings are averaged and then rounded to arrive at the summary star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55"/>
        <w:gridCol w:w="1800"/>
        <w:gridCol w:w="2396"/>
        <w:gridCol w:w="2099"/>
      </w:tblGrid>
      <w:tr w:rsidR="00210E74" w:rsidRPr="007B4AA9" w14:paraId="3C7238B5" w14:textId="77777777" w:rsidTr="005669B3">
        <w:trPr>
          <w:cantSplit/>
          <w:tblHeader/>
        </w:trPr>
        <w:tc>
          <w:tcPr>
            <w:tcW w:w="3055" w:type="dxa"/>
            <w:shd w:val="clear" w:color="auto" w:fill="D9D9D9"/>
            <w:vAlign w:val="bottom"/>
          </w:tcPr>
          <w:p w14:paraId="74E0E3BE" w14:textId="77777777" w:rsidR="00210E74" w:rsidRPr="007B4AA9" w:rsidRDefault="00210E74" w:rsidP="005669B3">
            <w:pPr>
              <w:pStyle w:val="table-headers"/>
              <w:rPr>
                <w:sz w:val="22"/>
              </w:rPr>
            </w:pPr>
            <w:r w:rsidRPr="007B4AA9">
              <w:rPr>
                <w:sz w:val="22"/>
              </w:rPr>
              <w:t> </w:t>
            </w:r>
          </w:p>
        </w:tc>
        <w:tc>
          <w:tcPr>
            <w:tcW w:w="1800" w:type="dxa"/>
            <w:shd w:val="clear" w:color="auto" w:fill="D9D9D9"/>
            <w:vAlign w:val="bottom"/>
          </w:tcPr>
          <w:p w14:paraId="728DEB21" w14:textId="77777777" w:rsidR="00210E74" w:rsidRPr="007B4AA9" w:rsidRDefault="00210E74" w:rsidP="005669B3">
            <w:pPr>
              <w:pStyle w:val="table-headers"/>
              <w:rPr>
                <w:sz w:val="22"/>
              </w:rPr>
            </w:pPr>
            <w:r w:rsidRPr="007B4AA9">
              <w:rPr>
                <w:sz w:val="22"/>
              </w:rPr>
              <w:t>Individual ICH CAHPS Measure Star Ratings</w:t>
            </w:r>
          </w:p>
        </w:tc>
        <w:tc>
          <w:tcPr>
            <w:tcW w:w="2396" w:type="dxa"/>
            <w:shd w:val="clear" w:color="auto" w:fill="D9D9D9"/>
            <w:vAlign w:val="bottom"/>
          </w:tcPr>
          <w:p w14:paraId="49823B9C" w14:textId="77777777" w:rsidR="00210E74" w:rsidRPr="007B4AA9" w:rsidRDefault="00210E74" w:rsidP="005669B3">
            <w:pPr>
              <w:pStyle w:val="table-headers"/>
              <w:rPr>
                <w:sz w:val="22"/>
              </w:rPr>
            </w:pPr>
            <w:r w:rsidRPr="007B4AA9">
              <w:rPr>
                <w:sz w:val="22"/>
              </w:rPr>
              <w:t>ICH CAHPS Survey Summary Star Rating Average (unrounded)</w:t>
            </w:r>
          </w:p>
        </w:tc>
        <w:tc>
          <w:tcPr>
            <w:tcW w:w="2099" w:type="dxa"/>
            <w:shd w:val="clear" w:color="auto" w:fill="D9D9D9"/>
            <w:vAlign w:val="bottom"/>
          </w:tcPr>
          <w:p w14:paraId="2435BBCC" w14:textId="77777777" w:rsidR="00210E74" w:rsidRPr="007B4AA9" w:rsidRDefault="00210E74" w:rsidP="005669B3">
            <w:pPr>
              <w:pStyle w:val="table-headers"/>
              <w:rPr>
                <w:sz w:val="22"/>
              </w:rPr>
            </w:pPr>
            <w:r w:rsidRPr="007B4AA9">
              <w:rPr>
                <w:sz w:val="22"/>
              </w:rPr>
              <w:t>ICH CAHPS Survey Summary Star Rating (rounded)</w:t>
            </w:r>
          </w:p>
        </w:tc>
      </w:tr>
      <w:tr w:rsidR="00210E74" w:rsidRPr="007B4AA9" w14:paraId="175DBD48" w14:textId="77777777" w:rsidTr="005669B3">
        <w:trPr>
          <w:cantSplit/>
        </w:trPr>
        <w:tc>
          <w:tcPr>
            <w:tcW w:w="3055" w:type="dxa"/>
          </w:tcPr>
          <w:p w14:paraId="04F6490E" w14:textId="77777777" w:rsidR="00210E74" w:rsidRPr="007B4AA9" w:rsidRDefault="00210E74" w:rsidP="005669B3">
            <w:pPr>
              <w:pStyle w:val="table-text"/>
              <w:rPr>
                <w:sz w:val="22"/>
              </w:rPr>
            </w:pPr>
            <w:r w:rsidRPr="007B4AA9">
              <w:rPr>
                <w:b/>
                <w:sz w:val="22"/>
              </w:rPr>
              <w:t>Global Ratings</w:t>
            </w:r>
          </w:p>
        </w:tc>
        <w:tc>
          <w:tcPr>
            <w:tcW w:w="1800" w:type="dxa"/>
          </w:tcPr>
          <w:p w14:paraId="775D54A1" w14:textId="77777777" w:rsidR="00210E74" w:rsidRPr="007B4AA9" w:rsidRDefault="00210E74" w:rsidP="005669B3">
            <w:pPr>
              <w:pStyle w:val="table-text"/>
              <w:jc w:val="center"/>
              <w:rPr>
                <w:sz w:val="22"/>
              </w:rPr>
            </w:pPr>
            <w:r>
              <w:rPr>
                <w:sz w:val="22"/>
              </w:rPr>
              <w:t> </w:t>
            </w:r>
          </w:p>
        </w:tc>
        <w:tc>
          <w:tcPr>
            <w:tcW w:w="2396" w:type="dxa"/>
            <w:vMerge w:val="restart"/>
            <w:vAlign w:val="center"/>
          </w:tcPr>
          <w:p w14:paraId="5284ADAE" w14:textId="77777777" w:rsidR="00210E74" w:rsidRPr="007B4AA9" w:rsidRDefault="00210E74" w:rsidP="005669B3">
            <w:pPr>
              <w:pStyle w:val="table-text"/>
              <w:jc w:val="center"/>
              <w:rPr>
                <w:sz w:val="22"/>
              </w:rPr>
            </w:pPr>
            <w:r w:rsidRPr="007B4AA9">
              <w:rPr>
                <w:sz w:val="22"/>
              </w:rPr>
              <w:t>(4 + 3 + 4 + 4 + 3 +3) =</w:t>
            </w:r>
          </w:p>
          <w:p w14:paraId="4707DC87" w14:textId="77777777" w:rsidR="00210E74" w:rsidRPr="007B4AA9" w:rsidRDefault="00210E74" w:rsidP="005669B3">
            <w:pPr>
              <w:pStyle w:val="table-text"/>
              <w:jc w:val="center"/>
              <w:rPr>
                <w:sz w:val="22"/>
              </w:rPr>
            </w:pPr>
            <w:r w:rsidRPr="007B4AA9">
              <w:rPr>
                <w:sz w:val="22"/>
              </w:rPr>
              <w:t>21 ÷ 6 = 3.5</w:t>
            </w:r>
          </w:p>
        </w:tc>
        <w:tc>
          <w:tcPr>
            <w:tcW w:w="2099" w:type="dxa"/>
            <w:vMerge w:val="restart"/>
            <w:vAlign w:val="center"/>
          </w:tcPr>
          <w:p w14:paraId="13A40B9A" w14:textId="77777777" w:rsidR="00210E74" w:rsidRPr="007B4AA9" w:rsidRDefault="00210E74" w:rsidP="005669B3">
            <w:pPr>
              <w:pStyle w:val="table-text"/>
              <w:jc w:val="center"/>
              <w:rPr>
                <w:sz w:val="22"/>
              </w:rPr>
            </w:pPr>
            <w:r w:rsidRPr="007B4AA9">
              <w:rPr>
                <w:sz w:val="22"/>
              </w:rPr>
              <w:t>4</w:t>
            </w:r>
          </w:p>
        </w:tc>
      </w:tr>
      <w:tr w:rsidR="00210E74" w:rsidRPr="007B4AA9" w14:paraId="29025EB7" w14:textId="77777777" w:rsidTr="005669B3">
        <w:trPr>
          <w:cantSplit/>
        </w:trPr>
        <w:tc>
          <w:tcPr>
            <w:tcW w:w="3055" w:type="dxa"/>
          </w:tcPr>
          <w:p w14:paraId="02333EB0" w14:textId="77777777" w:rsidR="00210E74" w:rsidRPr="007B4AA9" w:rsidRDefault="00210E74" w:rsidP="005669B3">
            <w:pPr>
              <w:pStyle w:val="table-textindent"/>
              <w:rPr>
                <w:sz w:val="22"/>
              </w:rPr>
            </w:pPr>
            <w:r w:rsidRPr="007B4AA9">
              <w:rPr>
                <w:sz w:val="22"/>
              </w:rPr>
              <w:t>Nephrologist</w:t>
            </w:r>
          </w:p>
        </w:tc>
        <w:tc>
          <w:tcPr>
            <w:tcW w:w="1800" w:type="dxa"/>
          </w:tcPr>
          <w:p w14:paraId="02F89D04" w14:textId="77777777" w:rsidR="00210E74" w:rsidRPr="007B4AA9" w:rsidRDefault="00210E74" w:rsidP="005669B3">
            <w:pPr>
              <w:pStyle w:val="table-text"/>
              <w:jc w:val="center"/>
              <w:rPr>
                <w:sz w:val="22"/>
              </w:rPr>
            </w:pPr>
            <w:r w:rsidRPr="007B4AA9">
              <w:rPr>
                <w:sz w:val="22"/>
              </w:rPr>
              <w:t>4</w:t>
            </w:r>
          </w:p>
        </w:tc>
        <w:tc>
          <w:tcPr>
            <w:tcW w:w="2396" w:type="dxa"/>
            <w:vMerge/>
          </w:tcPr>
          <w:p w14:paraId="16AC42FA" w14:textId="77777777" w:rsidR="00210E74" w:rsidRPr="007B4AA9" w:rsidRDefault="00210E74" w:rsidP="005669B3">
            <w:pPr>
              <w:pStyle w:val="table-text"/>
              <w:rPr>
                <w:sz w:val="22"/>
              </w:rPr>
            </w:pPr>
          </w:p>
        </w:tc>
        <w:tc>
          <w:tcPr>
            <w:tcW w:w="2099" w:type="dxa"/>
            <w:vMerge/>
          </w:tcPr>
          <w:p w14:paraId="699234D9" w14:textId="77777777" w:rsidR="00210E74" w:rsidRPr="007B4AA9" w:rsidRDefault="00210E74" w:rsidP="005669B3">
            <w:pPr>
              <w:pStyle w:val="table-text"/>
              <w:rPr>
                <w:sz w:val="22"/>
              </w:rPr>
            </w:pPr>
          </w:p>
        </w:tc>
      </w:tr>
      <w:tr w:rsidR="00210E74" w:rsidRPr="007B4AA9" w14:paraId="50291822" w14:textId="77777777" w:rsidTr="005669B3">
        <w:trPr>
          <w:cantSplit/>
        </w:trPr>
        <w:tc>
          <w:tcPr>
            <w:tcW w:w="3055" w:type="dxa"/>
          </w:tcPr>
          <w:p w14:paraId="5AF859BC" w14:textId="77777777" w:rsidR="00210E74" w:rsidRPr="007B4AA9" w:rsidRDefault="00210E74" w:rsidP="005669B3">
            <w:pPr>
              <w:pStyle w:val="table-textindent"/>
              <w:rPr>
                <w:sz w:val="22"/>
              </w:rPr>
            </w:pPr>
            <w:r w:rsidRPr="007B4AA9">
              <w:rPr>
                <w:sz w:val="22"/>
              </w:rPr>
              <w:t>Dialysis Center Staff</w:t>
            </w:r>
          </w:p>
        </w:tc>
        <w:tc>
          <w:tcPr>
            <w:tcW w:w="1800" w:type="dxa"/>
          </w:tcPr>
          <w:p w14:paraId="0497778A" w14:textId="77777777" w:rsidR="00210E74" w:rsidRPr="007B4AA9" w:rsidRDefault="00210E74" w:rsidP="005669B3">
            <w:pPr>
              <w:pStyle w:val="table-text"/>
              <w:jc w:val="center"/>
              <w:rPr>
                <w:sz w:val="22"/>
              </w:rPr>
            </w:pPr>
            <w:r w:rsidRPr="007B4AA9">
              <w:rPr>
                <w:sz w:val="22"/>
              </w:rPr>
              <w:t>3</w:t>
            </w:r>
          </w:p>
        </w:tc>
        <w:tc>
          <w:tcPr>
            <w:tcW w:w="2396" w:type="dxa"/>
            <w:vMerge/>
          </w:tcPr>
          <w:p w14:paraId="41D18E5F" w14:textId="77777777" w:rsidR="00210E74" w:rsidRPr="007B4AA9" w:rsidRDefault="00210E74" w:rsidP="005669B3">
            <w:pPr>
              <w:pStyle w:val="table-text"/>
              <w:rPr>
                <w:sz w:val="22"/>
              </w:rPr>
            </w:pPr>
          </w:p>
        </w:tc>
        <w:tc>
          <w:tcPr>
            <w:tcW w:w="2099" w:type="dxa"/>
            <w:vMerge/>
          </w:tcPr>
          <w:p w14:paraId="1F4FB6EB" w14:textId="77777777" w:rsidR="00210E74" w:rsidRPr="007B4AA9" w:rsidRDefault="00210E74" w:rsidP="005669B3">
            <w:pPr>
              <w:pStyle w:val="table-text"/>
              <w:rPr>
                <w:sz w:val="22"/>
              </w:rPr>
            </w:pPr>
          </w:p>
        </w:tc>
      </w:tr>
      <w:tr w:rsidR="00210E74" w:rsidRPr="007B4AA9" w14:paraId="03D3D2D1" w14:textId="77777777" w:rsidTr="005669B3">
        <w:trPr>
          <w:cantSplit/>
        </w:trPr>
        <w:tc>
          <w:tcPr>
            <w:tcW w:w="3055" w:type="dxa"/>
          </w:tcPr>
          <w:p w14:paraId="538FA41F" w14:textId="77777777" w:rsidR="00210E74" w:rsidRPr="007B4AA9" w:rsidRDefault="00210E74" w:rsidP="005669B3">
            <w:pPr>
              <w:pStyle w:val="table-textindent"/>
              <w:rPr>
                <w:sz w:val="22"/>
              </w:rPr>
            </w:pPr>
            <w:r w:rsidRPr="007B4AA9">
              <w:rPr>
                <w:sz w:val="22"/>
              </w:rPr>
              <w:t>Dialysis Center</w:t>
            </w:r>
          </w:p>
        </w:tc>
        <w:tc>
          <w:tcPr>
            <w:tcW w:w="1800" w:type="dxa"/>
          </w:tcPr>
          <w:p w14:paraId="489815F3" w14:textId="77777777" w:rsidR="00210E74" w:rsidRPr="007B4AA9" w:rsidRDefault="00210E74" w:rsidP="005669B3">
            <w:pPr>
              <w:pStyle w:val="table-text"/>
              <w:jc w:val="center"/>
              <w:rPr>
                <w:sz w:val="22"/>
              </w:rPr>
            </w:pPr>
            <w:r w:rsidRPr="007B4AA9">
              <w:rPr>
                <w:sz w:val="22"/>
              </w:rPr>
              <w:t>4</w:t>
            </w:r>
          </w:p>
        </w:tc>
        <w:tc>
          <w:tcPr>
            <w:tcW w:w="2396" w:type="dxa"/>
            <w:vMerge/>
          </w:tcPr>
          <w:p w14:paraId="0D8ED935" w14:textId="77777777" w:rsidR="00210E74" w:rsidRPr="007B4AA9" w:rsidRDefault="00210E74" w:rsidP="005669B3">
            <w:pPr>
              <w:pStyle w:val="table-text"/>
              <w:rPr>
                <w:sz w:val="22"/>
              </w:rPr>
            </w:pPr>
          </w:p>
        </w:tc>
        <w:tc>
          <w:tcPr>
            <w:tcW w:w="2099" w:type="dxa"/>
            <w:vMerge/>
          </w:tcPr>
          <w:p w14:paraId="3C2F7622" w14:textId="77777777" w:rsidR="00210E74" w:rsidRPr="007B4AA9" w:rsidRDefault="00210E74" w:rsidP="005669B3">
            <w:pPr>
              <w:pStyle w:val="table-text"/>
              <w:rPr>
                <w:sz w:val="22"/>
              </w:rPr>
            </w:pPr>
          </w:p>
        </w:tc>
      </w:tr>
      <w:tr w:rsidR="00210E74" w:rsidRPr="007B4AA9" w14:paraId="4DA0D418" w14:textId="77777777" w:rsidTr="005669B3">
        <w:trPr>
          <w:cantSplit/>
        </w:trPr>
        <w:tc>
          <w:tcPr>
            <w:tcW w:w="3055" w:type="dxa"/>
          </w:tcPr>
          <w:p w14:paraId="704B54F2" w14:textId="77777777" w:rsidR="00210E74" w:rsidRPr="007B4AA9" w:rsidRDefault="00210E74" w:rsidP="005669B3">
            <w:pPr>
              <w:pStyle w:val="table-text"/>
              <w:rPr>
                <w:sz w:val="22"/>
              </w:rPr>
            </w:pPr>
            <w:r w:rsidRPr="007B4AA9">
              <w:rPr>
                <w:b/>
                <w:sz w:val="22"/>
              </w:rPr>
              <w:t>Composite Scores</w:t>
            </w:r>
          </w:p>
        </w:tc>
        <w:tc>
          <w:tcPr>
            <w:tcW w:w="1800" w:type="dxa"/>
          </w:tcPr>
          <w:p w14:paraId="1506AA86" w14:textId="77777777" w:rsidR="00210E74" w:rsidRPr="007B4AA9" w:rsidRDefault="00210E74" w:rsidP="005669B3">
            <w:pPr>
              <w:pStyle w:val="table-text"/>
              <w:jc w:val="center"/>
              <w:rPr>
                <w:sz w:val="22"/>
              </w:rPr>
            </w:pPr>
            <w:r>
              <w:rPr>
                <w:sz w:val="22"/>
              </w:rPr>
              <w:t> </w:t>
            </w:r>
          </w:p>
        </w:tc>
        <w:tc>
          <w:tcPr>
            <w:tcW w:w="2396" w:type="dxa"/>
            <w:vMerge/>
          </w:tcPr>
          <w:p w14:paraId="3BC88BA8" w14:textId="77777777" w:rsidR="00210E74" w:rsidRPr="007B4AA9" w:rsidRDefault="00210E74" w:rsidP="005669B3">
            <w:pPr>
              <w:pStyle w:val="table-text"/>
              <w:rPr>
                <w:sz w:val="22"/>
              </w:rPr>
            </w:pPr>
          </w:p>
        </w:tc>
        <w:tc>
          <w:tcPr>
            <w:tcW w:w="2099" w:type="dxa"/>
            <w:vMerge/>
          </w:tcPr>
          <w:p w14:paraId="17A26F9F" w14:textId="77777777" w:rsidR="00210E74" w:rsidRPr="007B4AA9" w:rsidRDefault="00210E74" w:rsidP="005669B3">
            <w:pPr>
              <w:pStyle w:val="table-text"/>
              <w:rPr>
                <w:sz w:val="22"/>
              </w:rPr>
            </w:pPr>
          </w:p>
        </w:tc>
      </w:tr>
      <w:tr w:rsidR="00210E74" w:rsidRPr="007B4AA9" w14:paraId="7D3F5D25" w14:textId="77777777" w:rsidTr="005669B3">
        <w:trPr>
          <w:cantSplit/>
        </w:trPr>
        <w:tc>
          <w:tcPr>
            <w:tcW w:w="3055" w:type="dxa"/>
          </w:tcPr>
          <w:p w14:paraId="2DF57270" w14:textId="77777777" w:rsidR="00210E74" w:rsidRPr="007B4AA9" w:rsidRDefault="00210E74" w:rsidP="005669B3">
            <w:pPr>
              <w:pStyle w:val="table-textindent"/>
              <w:rPr>
                <w:sz w:val="22"/>
              </w:rPr>
            </w:pPr>
            <w:r w:rsidRPr="007B4AA9">
              <w:rPr>
                <w:sz w:val="22"/>
              </w:rPr>
              <w:t>Communication and Caring</w:t>
            </w:r>
          </w:p>
        </w:tc>
        <w:tc>
          <w:tcPr>
            <w:tcW w:w="1800" w:type="dxa"/>
          </w:tcPr>
          <w:p w14:paraId="3C3404BC" w14:textId="77777777" w:rsidR="00210E74" w:rsidRPr="007B4AA9" w:rsidRDefault="00210E74" w:rsidP="005669B3">
            <w:pPr>
              <w:pStyle w:val="table-text"/>
              <w:jc w:val="center"/>
              <w:rPr>
                <w:sz w:val="22"/>
              </w:rPr>
            </w:pPr>
            <w:r w:rsidRPr="007B4AA9">
              <w:rPr>
                <w:sz w:val="22"/>
              </w:rPr>
              <w:t>4</w:t>
            </w:r>
          </w:p>
        </w:tc>
        <w:tc>
          <w:tcPr>
            <w:tcW w:w="2396" w:type="dxa"/>
            <w:vMerge/>
          </w:tcPr>
          <w:p w14:paraId="32A6762A" w14:textId="77777777" w:rsidR="00210E74" w:rsidRPr="007B4AA9" w:rsidRDefault="00210E74" w:rsidP="005669B3">
            <w:pPr>
              <w:pStyle w:val="table-text"/>
              <w:rPr>
                <w:sz w:val="22"/>
              </w:rPr>
            </w:pPr>
          </w:p>
        </w:tc>
        <w:tc>
          <w:tcPr>
            <w:tcW w:w="2099" w:type="dxa"/>
            <w:vMerge/>
          </w:tcPr>
          <w:p w14:paraId="3710093E" w14:textId="77777777" w:rsidR="00210E74" w:rsidRPr="007B4AA9" w:rsidRDefault="00210E74" w:rsidP="005669B3">
            <w:pPr>
              <w:pStyle w:val="table-text"/>
              <w:rPr>
                <w:sz w:val="22"/>
              </w:rPr>
            </w:pPr>
          </w:p>
        </w:tc>
      </w:tr>
      <w:tr w:rsidR="00210E74" w:rsidRPr="007B4AA9" w14:paraId="0A48FADB" w14:textId="77777777" w:rsidTr="005669B3">
        <w:trPr>
          <w:cantSplit/>
        </w:trPr>
        <w:tc>
          <w:tcPr>
            <w:tcW w:w="3055" w:type="dxa"/>
          </w:tcPr>
          <w:p w14:paraId="02E55B8B" w14:textId="77777777" w:rsidR="00210E74" w:rsidRPr="007B4AA9" w:rsidRDefault="00210E74" w:rsidP="005669B3">
            <w:pPr>
              <w:pStyle w:val="table-textindent"/>
              <w:rPr>
                <w:sz w:val="22"/>
              </w:rPr>
            </w:pPr>
            <w:r w:rsidRPr="007B4AA9">
              <w:rPr>
                <w:sz w:val="22"/>
              </w:rPr>
              <w:t>Quality and Operations</w:t>
            </w:r>
          </w:p>
        </w:tc>
        <w:tc>
          <w:tcPr>
            <w:tcW w:w="1800" w:type="dxa"/>
          </w:tcPr>
          <w:p w14:paraId="33F583CB" w14:textId="77777777" w:rsidR="00210E74" w:rsidRPr="007B4AA9" w:rsidRDefault="00210E74" w:rsidP="005669B3">
            <w:pPr>
              <w:pStyle w:val="table-text"/>
              <w:jc w:val="center"/>
              <w:rPr>
                <w:sz w:val="22"/>
              </w:rPr>
            </w:pPr>
            <w:r w:rsidRPr="007B4AA9">
              <w:rPr>
                <w:sz w:val="22"/>
              </w:rPr>
              <w:t>3</w:t>
            </w:r>
          </w:p>
        </w:tc>
        <w:tc>
          <w:tcPr>
            <w:tcW w:w="2396" w:type="dxa"/>
            <w:vMerge/>
          </w:tcPr>
          <w:p w14:paraId="6CCDC13C" w14:textId="77777777" w:rsidR="00210E74" w:rsidRPr="007B4AA9" w:rsidRDefault="00210E74" w:rsidP="005669B3">
            <w:pPr>
              <w:pStyle w:val="table-text"/>
              <w:rPr>
                <w:sz w:val="22"/>
              </w:rPr>
            </w:pPr>
          </w:p>
        </w:tc>
        <w:tc>
          <w:tcPr>
            <w:tcW w:w="2099" w:type="dxa"/>
            <w:vMerge/>
          </w:tcPr>
          <w:p w14:paraId="2C7B1E5F" w14:textId="77777777" w:rsidR="00210E74" w:rsidRPr="007B4AA9" w:rsidRDefault="00210E74" w:rsidP="005669B3">
            <w:pPr>
              <w:pStyle w:val="table-text"/>
              <w:rPr>
                <w:sz w:val="22"/>
              </w:rPr>
            </w:pPr>
          </w:p>
        </w:tc>
      </w:tr>
      <w:tr w:rsidR="00210E74" w:rsidRPr="007B4AA9" w14:paraId="336E7233" w14:textId="77777777" w:rsidTr="005669B3">
        <w:trPr>
          <w:cantSplit/>
        </w:trPr>
        <w:tc>
          <w:tcPr>
            <w:tcW w:w="3055" w:type="dxa"/>
          </w:tcPr>
          <w:p w14:paraId="2CCC5CF5" w14:textId="77777777" w:rsidR="00210E74" w:rsidRPr="007B4AA9" w:rsidRDefault="00210E74" w:rsidP="005669B3">
            <w:pPr>
              <w:pStyle w:val="table-textindent"/>
              <w:rPr>
                <w:sz w:val="22"/>
              </w:rPr>
            </w:pPr>
            <w:r w:rsidRPr="007B4AA9">
              <w:rPr>
                <w:sz w:val="22"/>
              </w:rPr>
              <w:t>Providing Information</w:t>
            </w:r>
          </w:p>
        </w:tc>
        <w:tc>
          <w:tcPr>
            <w:tcW w:w="1800" w:type="dxa"/>
          </w:tcPr>
          <w:p w14:paraId="3716DBBA" w14:textId="77777777" w:rsidR="00210E74" w:rsidRPr="007B4AA9" w:rsidRDefault="00210E74" w:rsidP="005669B3">
            <w:pPr>
              <w:pStyle w:val="table-text"/>
              <w:jc w:val="center"/>
              <w:rPr>
                <w:sz w:val="22"/>
              </w:rPr>
            </w:pPr>
            <w:r w:rsidRPr="007B4AA9">
              <w:rPr>
                <w:sz w:val="22"/>
              </w:rPr>
              <w:t>3</w:t>
            </w:r>
          </w:p>
        </w:tc>
        <w:tc>
          <w:tcPr>
            <w:tcW w:w="2396" w:type="dxa"/>
            <w:vMerge/>
          </w:tcPr>
          <w:p w14:paraId="02F8354F" w14:textId="77777777" w:rsidR="00210E74" w:rsidRPr="007B4AA9" w:rsidRDefault="00210E74" w:rsidP="005669B3">
            <w:pPr>
              <w:pStyle w:val="table-text"/>
              <w:rPr>
                <w:sz w:val="22"/>
              </w:rPr>
            </w:pPr>
          </w:p>
        </w:tc>
        <w:tc>
          <w:tcPr>
            <w:tcW w:w="2099" w:type="dxa"/>
            <w:vMerge/>
          </w:tcPr>
          <w:p w14:paraId="0721B6CC" w14:textId="77777777" w:rsidR="00210E74" w:rsidRPr="007B4AA9" w:rsidRDefault="00210E74" w:rsidP="005669B3">
            <w:pPr>
              <w:pStyle w:val="table-text"/>
              <w:rPr>
                <w:sz w:val="22"/>
              </w:rPr>
            </w:pPr>
          </w:p>
        </w:tc>
      </w:tr>
    </w:tbl>
    <w:p w14:paraId="2F1FE0F1" w14:textId="77777777" w:rsidR="00210E74" w:rsidRDefault="00210E74" w:rsidP="00210E74">
      <w:pPr>
        <w:pStyle w:val="table-sourcestd"/>
      </w:pPr>
    </w:p>
    <w:p w14:paraId="750540A5" w14:textId="69FECAC2" w:rsidR="00210E74" w:rsidRDefault="00210E74" w:rsidP="00210E74">
      <w:pPr>
        <w:pStyle w:val="body-textcontinued"/>
      </w:pPr>
      <w:r>
        <w:rPr>
          <w:b/>
        </w:rPr>
        <w:lastRenderedPageBreak/>
        <w:t>Step 2: Round the ICH CAHPS Survey summary star rating average</w:t>
      </w:r>
      <w:r>
        <w:t xml:space="preserve"> using the rounding</w:t>
      </w:r>
      <w:r>
        <w:rPr>
          <w:b/>
        </w:rPr>
        <w:t xml:space="preserve"> </w:t>
      </w:r>
      <w:r>
        <w:t>table below. In this example, the CCN’s ICH CAHPS Survey summary star rating rounds to four stars. As done on other CAHPS Surveys, we use standard rounding rules for the assignment of ICH CAHPS Survey summary stars.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20"/>
        <w:gridCol w:w="3600"/>
      </w:tblGrid>
      <w:tr w:rsidR="00210E74" w:rsidRPr="007B4AA9" w14:paraId="5A054AD2" w14:textId="77777777" w:rsidTr="005669B3">
        <w:trPr>
          <w:cantSplit/>
          <w:tblHeader/>
        </w:trPr>
        <w:tc>
          <w:tcPr>
            <w:tcW w:w="3620" w:type="dxa"/>
            <w:shd w:val="clear" w:color="auto" w:fill="D9D9D9"/>
            <w:vAlign w:val="bottom"/>
          </w:tcPr>
          <w:p w14:paraId="658E0040" w14:textId="77777777" w:rsidR="00210E74" w:rsidRPr="007B4AA9" w:rsidRDefault="00210E74" w:rsidP="005669B3">
            <w:pPr>
              <w:pStyle w:val="table-headers"/>
              <w:rPr>
                <w:sz w:val="22"/>
              </w:rPr>
            </w:pPr>
            <w:r w:rsidRPr="007B4AA9">
              <w:rPr>
                <w:sz w:val="22"/>
              </w:rPr>
              <w:t>6-Measure ICH CAHPS Survey</w:t>
            </w:r>
            <w:r w:rsidRPr="007B4AA9">
              <w:rPr>
                <w:sz w:val="22"/>
              </w:rPr>
              <w:br/>
              <w:t>Summary Star Rating Average</w:t>
            </w:r>
          </w:p>
        </w:tc>
        <w:tc>
          <w:tcPr>
            <w:tcW w:w="3600" w:type="dxa"/>
            <w:shd w:val="clear" w:color="auto" w:fill="D9D9D9"/>
            <w:vAlign w:val="bottom"/>
          </w:tcPr>
          <w:p w14:paraId="13AC74B0" w14:textId="77777777" w:rsidR="00210E74" w:rsidRPr="007B4AA9" w:rsidRDefault="00210E74" w:rsidP="005669B3">
            <w:pPr>
              <w:pStyle w:val="table-headers"/>
              <w:rPr>
                <w:sz w:val="22"/>
              </w:rPr>
            </w:pPr>
            <w:r w:rsidRPr="007B4AA9">
              <w:rPr>
                <w:sz w:val="22"/>
              </w:rPr>
              <w:t>ICH CAHPS Survey Summary Star</w:t>
            </w:r>
            <w:r w:rsidRPr="007B4AA9">
              <w:rPr>
                <w:sz w:val="22"/>
              </w:rPr>
              <w:br/>
              <w:t>Rating Assignment</w:t>
            </w:r>
          </w:p>
        </w:tc>
      </w:tr>
      <w:tr w:rsidR="00210E74" w:rsidRPr="007B4AA9" w14:paraId="26254530" w14:textId="77777777" w:rsidTr="005669B3">
        <w:trPr>
          <w:cantSplit/>
        </w:trPr>
        <w:tc>
          <w:tcPr>
            <w:tcW w:w="3620" w:type="dxa"/>
          </w:tcPr>
          <w:p w14:paraId="18142DB0" w14:textId="77777777" w:rsidR="00210E74" w:rsidRPr="007B4AA9" w:rsidRDefault="00210E74" w:rsidP="005669B3">
            <w:pPr>
              <w:pStyle w:val="table-text"/>
              <w:jc w:val="center"/>
              <w:rPr>
                <w:w w:val="99"/>
                <w:sz w:val="22"/>
              </w:rPr>
            </w:pPr>
            <w:r w:rsidRPr="007B4AA9">
              <w:rPr>
                <w:sz w:val="22"/>
              </w:rPr>
              <w:t>≥ 1.00 and &lt; 1.50</w:t>
            </w:r>
          </w:p>
        </w:tc>
        <w:tc>
          <w:tcPr>
            <w:tcW w:w="3600" w:type="dxa"/>
          </w:tcPr>
          <w:p w14:paraId="592972C8" w14:textId="77777777" w:rsidR="00210E74" w:rsidRPr="007B4AA9" w:rsidRDefault="00210E74" w:rsidP="005669B3">
            <w:pPr>
              <w:pStyle w:val="table-text"/>
              <w:jc w:val="center"/>
              <w:rPr>
                <w:sz w:val="22"/>
              </w:rPr>
            </w:pPr>
            <w:r w:rsidRPr="007B4AA9">
              <w:rPr>
                <w:sz w:val="22"/>
              </w:rPr>
              <w:t>1 Star</w:t>
            </w:r>
          </w:p>
        </w:tc>
      </w:tr>
      <w:tr w:rsidR="00210E74" w:rsidRPr="007B4AA9" w14:paraId="7B6BF9AC" w14:textId="77777777" w:rsidTr="005669B3">
        <w:trPr>
          <w:cantSplit/>
        </w:trPr>
        <w:tc>
          <w:tcPr>
            <w:tcW w:w="3620" w:type="dxa"/>
          </w:tcPr>
          <w:p w14:paraId="7EDC16CE" w14:textId="77777777" w:rsidR="00210E74" w:rsidRPr="007B4AA9" w:rsidRDefault="00210E74" w:rsidP="005669B3">
            <w:pPr>
              <w:pStyle w:val="table-text"/>
              <w:jc w:val="center"/>
              <w:rPr>
                <w:w w:val="99"/>
                <w:sz w:val="22"/>
              </w:rPr>
            </w:pPr>
            <w:r w:rsidRPr="007B4AA9">
              <w:rPr>
                <w:sz w:val="22"/>
              </w:rPr>
              <w:t>≥ 1.50 and &lt; 2.50</w:t>
            </w:r>
          </w:p>
        </w:tc>
        <w:tc>
          <w:tcPr>
            <w:tcW w:w="3600" w:type="dxa"/>
          </w:tcPr>
          <w:p w14:paraId="5C63CAE7" w14:textId="77777777" w:rsidR="00210E74" w:rsidRPr="007B4AA9" w:rsidRDefault="00210E74" w:rsidP="005669B3">
            <w:pPr>
              <w:pStyle w:val="table-text"/>
              <w:jc w:val="center"/>
              <w:rPr>
                <w:sz w:val="22"/>
              </w:rPr>
            </w:pPr>
            <w:r w:rsidRPr="007B4AA9">
              <w:rPr>
                <w:sz w:val="22"/>
              </w:rPr>
              <w:t>2 Stars</w:t>
            </w:r>
          </w:p>
        </w:tc>
      </w:tr>
      <w:tr w:rsidR="00210E74" w:rsidRPr="007B4AA9" w14:paraId="114B82D9" w14:textId="77777777" w:rsidTr="005669B3">
        <w:trPr>
          <w:cantSplit/>
        </w:trPr>
        <w:tc>
          <w:tcPr>
            <w:tcW w:w="3620" w:type="dxa"/>
          </w:tcPr>
          <w:p w14:paraId="7856420D" w14:textId="77777777" w:rsidR="00210E74" w:rsidRPr="007B4AA9" w:rsidRDefault="00210E74" w:rsidP="005669B3">
            <w:pPr>
              <w:pStyle w:val="table-text"/>
              <w:jc w:val="center"/>
              <w:rPr>
                <w:w w:val="99"/>
                <w:sz w:val="22"/>
              </w:rPr>
            </w:pPr>
            <w:r w:rsidRPr="007B4AA9">
              <w:rPr>
                <w:sz w:val="22"/>
              </w:rPr>
              <w:t>≥ 2.50 and &lt; 3.50</w:t>
            </w:r>
          </w:p>
        </w:tc>
        <w:tc>
          <w:tcPr>
            <w:tcW w:w="3600" w:type="dxa"/>
          </w:tcPr>
          <w:p w14:paraId="2030F59E" w14:textId="77777777" w:rsidR="00210E74" w:rsidRPr="007B4AA9" w:rsidRDefault="00210E74" w:rsidP="005669B3">
            <w:pPr>
              <w:pStyle w:val="table-text"/>
              <w:jc w:val="center"/>
              <w:rPr>
                <w:w w:val="99"/>
                <w:sz w:val="22"/>
              </w:rPr>
            </w:pPr>
            <w:r w:rsidRPr="007B4AA9">
              <w:rPr>
                <w:sz w:val="22"/>
              </w:rPr>
              <w:t>3 Stars</w:t>
            </w:r>
          </w:p>
        </w:tc>
      </w:tr>
      <w:tr w:rsidR="00210E74" w:rsidRPr="007B4AA9" w14:paraId="67E6FE31" w14:textId="77777777" w:rsidTr="005669B3">
        <w:trPr>
          <w:cantSplit/>
        </w:trPr>
        <w:tc>
          <w:tcPr>
            <w:tcW w:w="3620" w:type="dxa"/>
          </w:tcPr>
          <w:p w14:paraId="18E76725" w14:textId="77777777" w:rsidR="00210E74" w:rsidRPr="007B4AA9" w:rsidRDefault="00210E74" w:rsidP="005669B3">
            <w:pPr>
              <w:pStyle w:val="table-text"/>
              <w:jc w:val="center"/>
              <w:rPr>
                <w:w w:val="99"/>
                <w:sz w:val="22"/>
              </w:rPr>
            </w:pPr>
            <w:r w:rsidRPr="007B4AA9">
              <w:rPr>
                <w:sz w:val="22"/>
              </w:rPr>
              <w:t>≥ 3.50 and &lt; 4.50</w:t>
            </w:r>
          </w:p>
        </w:tc>
        <w:tc>
          <w:tcPr>
            <w:tcW w:w="3600" w:type="dxa"/>
          </w:tcPr>
          <w:p w14:paraId="006CC5A5" w14:textId="77777777" w:rsidR="00210E74" w:rsidRPr="007B4AA9" w:rsidRDefault="00210E74" w:rsidP="005669B3">
            <w:pPr>
              <w:pStyle w:val="table-text"/>
              <w:jc w:val="center"/>
              <w:rPr>
                <w:w w:val="99"/>
                <w:sz w:val="22"/>
              </w:rPr>
            </w:pPr>
            <w:r w:rsidRPr="007B4AA9">
              <w:rPr>
                <w:sz w:val="22"/>
              </w:rPr>
              <w:t>4 Stars</w:t>
            </w:r>
          </w:p>
        </w:tc>
      </w:tr>
      <w:tr w:rsidR="00210E74" w:rsidRPr="007B4AA9" w14:paraId="0277A74D" w14:textId="77777777" w:rsidTr="005669B3">
        <w:trPr>
          <w:cantSplit/>
        </w:trPr>
        <w:tc>
          <w:tcPr>
            <w:tcW w:w="3620" w:type="dxa"/>
          </w:tcPr>
          <w:p w14:paraId="23B280EF" w14:textId="77777777" w:rsidR="00210E74" w:rsidRPr="007B4AA9" w:rsidRDefault="00210E74" w:rsidP="005669B3">
            <w:pPr>
              <w:pStyle w:val="table-text"/>
              <w:jc w:val="center"/>
              <w:rPr>
                <w:sz w:val="22"/>
              </w:rPr>
            </w:pPr>
            <w:r w:rsidRPr="007B4AA9">
              <w:rPr>
                <w:sz w:val="22"/>
              </w:rPr>
              <w:t>≥ 4.50 and ≤ 5.00</w:t>
            </w:r>
          </w:p>
        </w:tc>
        <w:tc>
          <w:tcPr>
            <w:tcW w:w="3600" w:type="dxa"/>
          </w:tcPr>
          <w:p w14:paraId="12091BAE" w14:textId="77777777" w:rsidR="00210E74" w:rsidRPr="007B4AA9" w:rsidRDefault="00210E74" w:rsidP="005669B3">
            <w:pPr>
              <w:pStyle w:val="table-text"/>
              <w:jc w:val="center"/>
              <w:rPr>
                <w:w w:val="99"/>
                <w:sz w:val="22"/>
              </w:rPr>
            </w:pPr>
            <w:r w:rsidRPr="007B4AA9">
              <w:rPr>
                <w:sz w:val="22"/>
              </w:rPr>
              <w:t>5 Stars</w:t>
            </w:r>
          </w:p>
        </w:tc>
      </w:tr>
    </w:tbl>
    <w:p w14:paraId="4359D438" w14:textId="77777777" w:rsidR="00210E74" w:rsidRDefault="00210E74" w:rsidP="00210E74">
      <w:pPr>
        <w:pStyle w:val="table-sourcestd"/>
      </w:pPr>
      <w:bookmarkStart w:id="23" w:name="_Toc485637393"/>
      <w:bookmarkStart w:id="24" w:name="_Toc491333997"/>
      <w:bookmarkStart w:id="25" w:name="_Toc494384138"/>
    </w:p>
    <w:p w14:paraId="682F385E" w14:textId="77777777" w:rsidR="00210E74" w:rsidRDefault="00210E74" w:rsidP="00210E74">
      <w:pPr>
        <w:pStyle w:val="Heading3"/>
      </w:pPr>
      <w:bookmarkStart w:id="26" w:name="_Toc497219212"/>
      <w:r>
        <w:t>3.</w:t>
      </w:r>
      <w:r>
        <w:tab/>
        <w:t>ICH CAHPS Star Ratings for the 2016 ICH CAHPS Surveys</w:t>
      </w:r>
      <w:bookmarkEnd w:id="23"/>
      <w:bookmarkEnd w:id="24"/>
      <w:bookmarkEnd w:id="25"/>
      <w:bookmarkEnd w:id="26"/>
    </w:p>
    <w:p w14:paraId="76925EB0" w14:textId="1E4A774D" w:rsidR="00210E74" w:rsidRDefault="00E05888" w:rsidP="00210E74">
      <w:pPr>
        <w:pStyle w:val="BodyText"/>
        <w:autoSpaceDE w:val="0"/>
        <w:autoSpaceDN w:val="0"/>
        <w:adjustRightInd w:val="0"/>
        <w:rPr>
          <w:rFonts w:eastAsiaTheme="minorEastAsia"/>
          <w:szCs w:val="24"/>
        </w:rPr>
      </w:pPr>
      <w:r>
        <w:rPr>
          <w:rFonts w:eastAsiaTheme="minorEastAsia"/>
          <w:szCs w:val="24"/>
        </w:rPr>
        <w:t>S</w:t>
      </w:r>
      <w:r w:rsidR="00210E74">
        <w:rPr>
          <w:rFonts w:eastAsiaTheme="minorEastAsia"/>
          <w:szCs w:val="24"/>
        </w:rPr>
        <w:t xml:space="preserve">tar ratings </w:t>
      </w:r>
      <w:r>
        <w:rPr>
          <w:rFonts w:eastAsiaTheme="minorEastAsia"/>
          <w:szCs w:val="24"/>
        </w:rPr>
        <w:t xml:space="preserve">are produced </w:t>
      </w:r>
      <w:r w:rsidR="00210E74">
        <w:rPr>
          <w:rFonts w:eastAsiaTheme="minorEastAsia"/>
          <w:szCs w:val="24"/>
        </w:rPr>
        <w:t>for each of the CCNs that had 30 or more completed surveys combined from the two semiannual surveys conducted in 2016. Table 4</w:t>
      </w:r>
      <w:r w:rsidR="00210E74">
        <w:rPr>
          <w:rFonts w:eastAsiaTheme="minorEastAsia"/>
          <w:b/>
          <w:szCs w:val="24"/>
        </w:rPr>
        <w:t xml:space="preserve"> </w:t>
      </w:r>
      <w:r w:rsidR="00210E74">
        <w:rPr>
          <w:rFonts w:eastAsiaTheme="minorEastAsia"/>
          <w:szCs w:val="24"/>
        </w:rPr>
        <w:t xml:space="preserve">in </w:t>
      </w:r>
      <w:r w:rsidR="00210E74">
        <w:rPr>
          <w:rFonts w:eastAsiaTheme="minorEastAsia"/>
          <w:b/>
          <w:i/>
          <w:szCs w:val="24"/>
        </w:rPr>
        <w:t>Appendix C</w:t>
      </w:r>
      <w:r w:rsidR="00210E74">
        <w:rPr>
          <w:rFonts w:eastAsiaTheme="minorEastAsia"/>
          <w:szCs w:val="24"/>
        </w:rPr>
        <w:t xml:space="preserve"> shows the frequency of CCNs assigned to each star rating for all six ratings and composite scores and the final Survey summary star rating based on data from the two 2016 ICH CAHPS Surveys.</w:t>
      </w:r>
    </w:p>
    <w:p w14:paraId="68477F65" w14:textId="77777777" w:rsidR="00210E74" w:rsidRDefault="00210E74" w:rsidP="00210E74">
      <w:pPr>
        <w:pStyle w:val="Heading3"/>
      </w:pPr>
      <w:bookmarkStart w:id="27" w:name="_Toc485637394"/>
      <w:bookmarkStart w:id="28" w:name="_Toc491333998"/>
      <w:bookmarkStart w:id="29" w:name="_Toc494384139"/>
      <w:bookmarkStart w:id="30" w:name="_Toc497219213"/>
      <w:r>
        <w:t>4.</w:t>
      </w:r>
      <w:r>
        <w:tab/>
        <w:t>Recommended Minimum Number of Completed Surveys Required for ICH CAHPS Star Ratings</w:t>
      </w:r>
      <w:bookmarkEnd w:id="27"/>
      <w:bookmarkEnd w:id="28"/>
      <w:bookmarkEnd w:id="29"/>
      <w:bookmarkEnd w:id="30"/>
    </w:p>
    <w:p w14:paraId="19EF3078" w14:textId="29CF78AD"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To receive ICH CAHPS star ratings, ICH facilities </w:t>
      </w:r>
      <w:r w:rsidR="00E05888">
        <w:rPr>
          <w:rFonts w:eastAsiaTheme="minorEastAsia"/>
          <w:szCs w:val="24"/>
        </w:rPr>
        <w:t xml:space="preserve">must </w:t>
      </w:r>
      <w:r>
        <w:rPr>
          <w:rFonts w:eastAsiaTheme="minorEastAsia"/>
          <w:szCs w:val="24"/>
        </w:rPr>
        <w:t xml:space="preserve">have 30 or more completed ICH CAHPS surveys over two consecutive survey periods. CCNs with 29 or fewer completed ICH CAHPS surveys </w:t>
      </w:r>
      <w:r w:rsidR="00E05888">
        <w:rPr>
          <w:rFonts w:eastAsiaTheme="minorEastAsia"/>
          <w:szCs w:val="24"/>
        </w:rPr>
        <w:t>do</w:t>
      </w:r>
      <w:r>
        <w:rPr>
          <w:rFonts w:eastAsiaTheme="minorEastAsia"/>
          <w:szCs w:val="24"/>
        </w:rPr>
        <w:t xml:space="preserve"> not receive star ratings. A minimum of 30 completed surveys is the same number currently required for survey results to be publicly reported on the </w:t>
      </w:r>
      <w:r w:rsidR="00270FEF">
        <w:rPr>
          <w:rFonts w:eastAsiaTheme="minorEastAsia"/>
          <w:szCs w:val="24"/>
        </w:rPr>
        <w:t>compare tool on Medicare.gov</w:t>
      </w:r>
      <w:r>
        <w:rPr>
          <w:rFonts w:eastAsiaTheme="minorEastAsia"/>
          <w:szCs w:val="24"/>
        </w:rPr>
        <w:t>.</w:t>
      </w:r>
    </w:p>
    <w:p w14:paraId="082318DB" w14:textId="77777777" w:rsidR="00210E74" w:rsidRDefault="00210E74" w:rsidP="00210E74">
      <w:pPr>
        <w:pStyle w:val="Heading3"/>
      </w:pPr>
      <w:bookmarkStart w:id="31" w:name="_Toc485637395"/>
      <w:bookmarkStart w:id="32" w:name="_Toc491333999"/>
      <w:bookmarkStart w:id="33" w:name="_Toc494384140"/>
      <w:bookmarkStart w:id="34" w:name="_Toc497219214"/>
      <w:r>
        <w:t>5.</w:t>
      </w:r>
      <w:r>
        <w:tab/>
        <w:t>Periodicity of Reporting Star Ratings</w:t>
      </w:r>
      <w:bookmarkEnd w:id="31"/>
      <w:bookmarkEnd w:id="32"/>
      <w:bookmarkEnd w:id="33"/>
      <w:bookmarkEnd w:id="34"/>
    </w:p>
    <w:p w14:paraId="457D31F2" w14:textId="06C662B3"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ICH CAHPS Survey results are updated on the </w:t>
      </w:r>
      <w:r w:rsidR="00270FEF">
        <w:rPr>
          <w:rFonts w:eastAsiaTheme="minorEastAsia"/>
          <w:szCs w:val="24"/>
        </w:rPr>
        <w:t xml:space="preserve">compare tool on Medicare.gov </w:t>
      </w:r>
      <w:r>
        <w:rPr>
          <w:rFonts w:eastAsiaTheme="minorEastAsia"/>
          <w:szCs w:val="24"/>
        </w:rPr>
        <w:t xml:space="preserve">in April and October of each year. Survey results that are published are based on data from the two most recent survey periods, with the data from the oldest survey period replaced by data from the most recent survey period. </w:t>
      </w:r>
    </w:p>
    <w:p w14:paraId="523EA6D1" w14:textId="77777777" w:rsidR="00210E74" w:rsidRDefault="00210E74" w:rsidP="00210E74">
      <w:pPr>
        <w:pStyle w:val="table-sourcestd"/>
      </w:pPr>
    </w:p>
    <w:p w14:paraId="4892883A" w14:textId="77777777" w:rsidR="00210E74" w:rsidRDefault="00210E74" w:rsidP="00210E74"/>
    <w:p w14:paraId="388103EB" w14:textId="77777777" w:rsidR="00210E74" w:rsidRDefault="00210E74" w:rsidP="00210E74">
      <w:pPr>
        <w:keepNext/>
        <w:autoSpaceDE w:val="0"/>
        <w:autoSpaceDN w:val="0"/>
        <w:adjustRightInd w:val="0"/>
        <w:outlineLvl w:val="0"/>
        <w:rPr>
          <w:szCs w:val="24"/>
        </w:rPr>
        <w:sectPr w:rsidR="00210E74" w:rsidSect="005669B3">
          <w:type w:val="oddPage"/>
          <w:pgSz w:w="12240" w:h="15840" w:code="1"/>
          <w:pgMar w:top="1440" w:right="1440" w:bottom="1440" w:left="1440" w:header="720" w:footer="720" w:gutter="0"/>
          <w:pgBorders w:offsetFrom="page">
            <w:top w:val="single" w:sz="12" w:space="0" w:color="auto"/>
            <w:left w:val="single" w:sz="12" w:space="0" w:color="auto"/>
            <w:bottom w:val="single" w:sz="12" w:space="0" w:color="auto"/>
            <w:right w:val="single" w:sz="12" w:space="0" w:color="auto"/>
          </w:pgBorders>
          <w:pgNumType w:start="1"/>
          <w:cols w:space="720"/>
        </w:sectPr>
      </w:pPr>
    </w:p>
    <w:p w14:paraId="488028F6" w14:textId="77777777" w:rsidR="00210E74" w:rsidRDefault="00210E74" w:rsidP="00210E74">
      <w:pPr>
        <w:pStyle w:val="app-heading1"/>
        <w:rPr>
          <w:rFonts w:hint="eastAsia"/>
        </w:rPr>
      </w:pPr>
      <w:bookmarkStart w:id="35" w:name="_Toc456623710"/>
      <w:bookmarkStart w:id="36" w:name="_Toc472415024"/>
      <w:bookmarkStart w:id="37" w:name="_Toc491334001"/>
      <w:bookmarkStart w:id="38" w:name="_Toc494384142"/>
      <w:bookmarkStart w:id="39" w:name="_Toc497218986"/>
      <w:r>
        <w:lastRenderedPageBreak/>
        <w:t>Appendix A:</w:t>
      </w:r>
      <w:bookmarkEnd w:id="35"/>
      <w:bookmarkEnd w:id="36"/>
      <w:r>
        <w:br/>
        <w:t>Patient-Mix Adjustment Factors for ICH CAHPS Linear Means from the 2016 ICH CAHPS Surveys</w:t>
      </w:r>
      <w:bookmarkStart w:id="40" w:name="page5"/>
      <w:bookmarkEnd w:id="37"/>
      <w:bookmarkEnd w:id="38"/>
      <w:bookmarkEnd w:id="39"/>
      <w:bookmarkEnd w:id="40"/>
    </w:p>
    <w:p w14:paraId="77B02FFE" w14:textId="77777777" w:rsidR="00210E74" w:rsidRPr="00A073A0" w:rsidRDefault="00210E74" w:rsidP="00210E74">
      <w:pPr>
        <w:pStyle w:val="table-title"/>
      </w:pPr>
      <w:bookmarkStart w:id="41" w:name="_Toc491334002"/>
      <w:bookmarkStart w:id="42" w:name="_Toc494384143"/>
      <w:bookmarkStart w:id="43" w:name="_Toc497219375"/>
      <w:r w:rsidRPr="00A073A0">
        <w:t>Table 1.</w:t>
      </w:r>
      <w:r w:rsidRPr="00A073A0">
        <w:tab/>
        <w:t>ICH CAHPS Patient-Mix Adjustment Factors of Linear Means (Average for the Two 2016 ICH CAHPS Semiannual Surveys)</w:t>
      </w:r>
      <w:bookmarkEnd w:id="41"/>
      <w:bookmarkEnd w:id="42"/>
      <w:bookmarkEnd w:id="43"/>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210E74" w:rsidRPr="007B4AA9" w14:paraId="770EC3F3" w14:textId="77777777" w:rsidTr="005669B3">
        <w:trPr>
          <w:cantSplit/>
          <w:tblHeader/>
        </w:trPr>
        <w:tc>
          <w:tcPr>
            <w:tcW w:w="2117" w:type="dxa"/>
            <w:tcBorders>
              <w:top w:val="single" w:sz="12" w:space="0" w:color="auto"/>
            </w:tcBorders>
            <w:noWrap/>
            <w:vAlign w:val="bottom"/>
            <w:hideMark/>
          </w:tcPr>
          <w:p w14:paraId="3D2E202E" w14:textId="77777777" w:rsidR="00210E74" w:rsidRPr="007B4AA9" w:rsidRDefault="00210E74" w:rsidP="005669B3">
            <w:pPr>
              <w:pStyle w:val="table-headers"/>
              <w:tabs>
                <w:tab w:val="left" w:pos="216"/>
              </w:tabs>
              <w:spacing w:before="30" w:after="30"/>
              <w:jc w:val="left"/>
            </w:pPr>
            <w:r w:rsidRPr="007B4AA9">
              <w:t>Patient Mix Characteristic</w:t>
            </w:r>
            <w:r w:rsidRPr="007B4AA9">
              <w:br/>
            </w:r>
            <w:r w:rsidRPr="007B4AA9">
              <w:tab/>
              <w:t>Patient Mix Level</w:t>
            </w:r>
          </w:p>
        </w:tc>
        <w:tc>
          <w:tcPr>
            <w:tcW w:w="1222" w:type="dxa"/>
            <w:tcBorders>
              <w:top w:val="single" w:sz="12" w:space="0" w:color="auto"/>
            </w:tcBorders>
            <w:vAlign w:val="bottom"/>
            <w:hideMark/>
          </w:tcPr>
          <w:p w14:paraId="2D9556C2" w14:textId="77777777" w:rsidR="00210E74" w:rsidRPr="007B4AA9" w:rsidRDefault="00210E74" w:rsidP="005669B3">
            <w:pPr>
              <w:pStyle w:val="table-headers"/>
              <w:spacing w:before="30" w:after="30"/>
            </w:pPr>
            <w:r w:rsidRPr="007B4AA9">
              <w:t>Rating of Kidney Doctors (Q8)</w:t>
            </w:r>
          </w:p>
        </w:tc>
        <w:tc>
          <w:tcPr>
            <w:tcW w:w="1161" w:type="dxa"/>
            <w:tcBorders>
              <w:top w:val="single" w:sz="12" w:space="0" w:color="auto"/>
            </w:tcBorders>
            <w:vAlign w:val="bottom"/>
            <w:hideMark/>
          </w:tcPr>
          <w:p w14:paraId="552E2658" w14:textId="77777777" w:rsidR="00210E74" w:rsidRPr="007B4AA9" w:rsidRDefault="00210E74" w:rsidP="005669B3">
            <w:pPr>
              <w:pStyle w:val="table-headers"/>
              <w:spacing w:before="30" w:after="30"/>
            </w:pPr>
            <w:r w:rsidRPr="007B4AA9">
              <w:t>Rating of Dialysis Center Staff (Q32)</w:t>
            </w:r>
          </w:p>
        </w:tc>
        <w:tc>
          <w:tcPr>
            <w:tcW w:w="1080" w:type="dxa"/>
            <w:tcBorders>
              <w:top w:val="single" w:sz="12" w:space="0" w:color="auto"/>
            </w:tcBorders>
            <w:vAlign w:val="bottom"/>
            <w:hideMark/>
          </w:tcPr>
          <w:p w14:paraId="6681DDF3" w14:textId="77777777" w:rsidR="00210E74" w:rsidRPr="007B4AA9" w:rsidRDefault="00210E74" w:rsidP="005669B3">
            <w:pPr>
              <w:pStyle w:val="table-headers"/>
              <w:spacing w:before="30" w:after="30"/>
            </w:pPr>
            <w:r w:rsidRPr="007B4AA9">
              <w:t>Rating of Dialysis Center (Q35)</w:t>
            </w:r>
          </w:p>
        </w:tc>
        <w:tc>
          <w:tcPr>
            <w:tcW w:w="1478" w:type="dxa"/>
            <w:tcBorders>
              <w:top w:val="single" w:sz="12" w:space="0" w:color="auto"/>
            </w:tcBorders>
            <w:vAlign w:val="bottom"/>
            <w:hideMark/>
          </w:tcPr>
          <w:p w14:paraId="1F2CA745" w14:textId="3C5E0E43" w:rsidR="00210E74" w:rsidRPr="007B4AA9" w:rsidRDefault="00210E74" w:rsidP="005669B3">
            <w:pPr>
              <w:pStyle w:val="table-headers"/>
              <w:spacing w:before="30" w:after="30"/>
            </w:pPr>
            <w:r w:rsidRPr="007B4AA9">
              <w:t>Average of survey items comprising the Kidney Doctors</w:t>
            </w:r>
            <w:r w:rsidR="00E05888">
              <w:t>’</w:t>
            </w:r>
            <w:r w:rsidRPr="007B4AA9">
              <w:t xml:space="preserve"> Communication and Caring Composite</w:t>
            </w:r>
          </w:p>
        </w:tc>
        <w:tc>
          <w:tcPr>
            <w:tcW w:w="1223" w:type="dxa"/>
            <w:tcBorders>
              <w:top w:val="single" w:sz="12" w:space="0" w:color="auto"/>
            </w:tcBorders>
            <w:vAlign w:val="bottom"/>
            <w:hideMark/>
          </w:tcPr>
          <w:p w14:paraId="0F19BC70" w14:textId="77777777" w:rsidR="00210E74" w:rsidRPr="007B4AA9" w:rsidRDefault="00210E74" w:rsidP="005669B3">
            <w:pPr>
              <w:pStyle w:val="table-headers"/>
              <w:spacing w:before="30" w:after="30"/>
            </w:pPr>
            <w:r w:rsidRPr="007B4AA9">
              <w:t>Average of survey items comprising the Quality of Dialysis Center and Operations Composite</w:t>
            </w:r>
          </w:p>
        </w:tc>
        <w:tc>
          <w:tcPr>
            <w:tcW w:w="1223" w:type="dxa"/>
            <w:tcBorders>
              <w:top w:val="single" w:sz="12" w:space="0" w:color="auto"/>
            </w:tcBorders>
            <w:vAlign w:val="bottom"/>
            <w:hideMark/>
          </w:tcPr>
          <w:p w14:paraId="695EDB45" w14:textId="77777777" w:rsidR="00210E74" w:rsidRPr="007B4AA9" w:rsidRDefault="00210E74" w:rsidP="005669B3">
            <w:pPr>
              <w:pStyle w:val="table-headers"/>
              <w:spacing w:before="30" w:after="30"/>
            </w:pPr>
            <w:r w:rsidRPr="007B4AA9">
              <w:t>Average of survey items comprising the Providing Information to Patients Composite</w:t>
            </w:r>
          </w:p>
        </w:tc>
      </w:tr>
      <w:tr w:rsidR="00210E74" w:rsidRPr="00846C44" w14:paraId="7E39C1FF" w14:textId="77777777" w:rsidTr="005669B3">
        <w:trPr>
          <w:cantSplit/>
        </w:trPr>
        <w:tc>
          <w:tcPr>
            <w:tcW w:w="2117" w:type="dxa"/>
          </w:tcPr>
          <w:p w14:paraId="0C8031F9" w14:textId="77777777" w:rsidR="00210E74" w:rsidRDefault="00210E74" w:rsidP="005669B3">
            <w:pPr>
              <w:pStyle w:val="table-text"/>
              <w:spacing w:before="30" w:after="30"/>
            </w:pPr>
            <w:r>
              <w:t>Survey Mode</w:t>
            </w:r>
          </w:p>
          <w:p w14:paraId="2D09D821" w14:textId="3D293EC7" w:rsidR="00210E74" w:rsidRPr="00630664" w:rsidRDefault="00210E74" w:rsidP="005669B3">
            <w:pPr>
              <w:pStyle w:val="table-textindent"/>
              <w:spacing w:before="30" w:after="30"/>
            </w:pPr>
            <w:r w:rsidRPr="00630664">
              <w:t>Mail</w:t>
            </w:r>
            <w:r w:rsidR="00E05888">
              <w:t>-</w:t>
            </w:r>
            <w:r w:rsidRPr="00630664">
              <w:t>Only</w:t>
            </w:r>
          </w:p>
        </w:tc>
        <w:tc>
          <w:tcPr>
            <w:tcW w:w="1222" w:type="dxa"/>
            <w:vAlign w:val="bottom"/>
          </w:tcPr>
          <w:p w14:paraId="6DB52614" w14:textId="77777777" w:rsidR="00210E74" w:rsidRPr="00630664" w:rsidRDefault="00210E74" w:rsidP="005669B3">
            <w:pPr>
              <w:pStyle w:val="table-text"/>
              <w:spacing w:before="30" w:after="30"/>
              <w:ind w:right="346"/>
              <w:jc w:val="right"/>
            </w:pPr>
            <w:r w:rsidRPr="00630664">
              <w:t>2.252</w:t>
            </w:r>
          </w:p>
        </w:tc>
        <w:tc>
          <w:tcPr>
            <w:tcW w:w="1161" w:type="dxa"/>
            <w:vAlign w:val="bottom"/>
          </w:tcPr>
          <w:p w14:paraId="5982C107" w14:textId="77777777" w:rsidR="00210E74" w:rsidRPr="00630664" w:rsidRDefault="00210E74" w:rsidP="005669B3">
            <w:pPr>
              <w:pStyle w:val="table-text"/>
              <w:spacing w:before="30" w:after="30"/>
              <w:ind w:right="346"/>
              <w:jc w:val="right"/>
            </w:pPr>
            <w:r w:rsidRPr="00630664">
              <w:t>2.058</w:t>
            </w:r>
          </w:p>
        </w:tc>
        <w:tc>
          <w:tcPr>
            <w:tcW w:w="1080" w:type="dxa"/>
            <w:vAlign w:val="bottom"/>
          </w:tcPr>
          <w:p w14:paraId="08341BD0" w14:textId="77777777" w:rsidR="00210E74" w:rsidRPr="00630664" w:rsidRDefault="00210E74" w:rsidP="005669B3">
            <w:pPr>
              <w:pStyle w:val="table-text"/>
              <w:spacing w:before="30" w:after="30"/>
              <w:ind w:right="346"/>
              <w:jc w:val="right"/>
            </w:pPr>
            <w:r w:rsidRPr="00630664">
              <w:t>2.825</w:t>
            </w:r>
          </w:p>
        </w:tc>
        <w:tc>
          <w:tcPr>
            <w:tcW w:w="1478" w:type="dxa"/>
            <w:vAlign w:val="bottom"/>
          </w:tcPr>
          <w:p w14:paraId="521BAE1D" w14:textId="77777777" w:rsidR="00210E74" w:rsidRPr="00630664" w:rsidRDefault="00210E74" w:rsidP="005669B3">
            <w:pPr>
              <w:pStyle w:val="table-text"/>
              <w:spacing w:before="30" w:after="30"/>
              <w:ind w:right="346"/>
              <w:jc w:val="right"/>
            </w:pPr>
            <w:r w:rsidRPr="00630664">
              <w:t>2.851</w:t>
            </w:r>
          </w:p>
        </w:tc>
        <w:tc>
          <w:tcPr>
            <w:tcW w:w="1223" w:type="dxa"/>
            <w:vAlign w:val="bottom"/>
          </w:tcPr>
          <w:p w14:paraId="0AF3672E" w14:textId="77777777" w:rsidR="00210E74" w:rsidRPr="00630664" w:rsidRDefault="00210E74" w:rsidP="005669B3">
            <w:pPr>
              <w:pStyle w:val="table-text"/>
              <w:spacing w:before="30" w:after="30"/>
              <w:ind w:right="346"/>
              <w:jc w:val="right"/>
            </w:pPr>
            <w:r w:rsidRPr="00630664">
              <w:t>1.362</w:t>
            </w:r>
          </w:p>
        </w:tc>
        <w:tc>
          <w:tcPr>
            <w:tcW w:w="1223" w:type="dxa"/>
            <w:vAlign w:val="bottom"/>
          </w:tcPr>
          <w:p w14:paraId="36C9FE9E" w14:textId="77777777" w:rsidR="00210E74" w:rsidRPr="00630664" w:rsidRDefault="00210E74" w:rsidP="005669B3">
            <w:pPr>
              <w:pStyle w:val="table-text"/>
              <w:spacing w:before="30" w:after="30"/>
              <w:ind w:right="346"/>
              <w:jc w:val="right"/>
            </w:pPr>
            <w:r w:rsidRPr="00630664">
              <w:t>2.893</w:t>
            </w:r>
          </w:p>
        </w:tc>
      </w:tr>
      <w:tr w:rsidR="00210E74" w:rsidRPr="00846C44" w14:paraId="0C56AA1E" w14:textId="77777777" w:rsidTr="005669B3">
        <w:trPr>
          <w:cantSplit/>
        </w:trPr>
        <w:tc>
          <w:tcPr>
            <w:tcW w:w="2117" w:type="dxa"/>
          </w:tcPr>
          <w:p w14:paraId="08D4423C" w14:textId="06A1724A" w:rsidR="00210E74" w:rsidRPr="00630664" w:rsidRDefault="00210E74" w:rsidP="005669B3">
            <w:pPr>
              <w:pStyle w:val="table-textindent"/>
              <w:spacing w:before="30" w:after="30"/>
            </w:pPr>
            <w:r w:rsidRPr="00630664">
              <w:t>Phone</w:t>
            </w:r>
            <w:r w:rsidR="00E05888">
              <w:t>-</w:t>
            </w:r>
            <w:r w:rsidRPr="00630664">
              <w:t>Only</w:t>
            </w:r>
          </w:p>
        </w:tc>
        <w:tc>
          <w:tcPr>
            <w:tcW w:w="1222" w:type="dxa"/>
            <w:vAlign w:val="bottom"/>
          </w:tcPr>
          <w:p w14:paraId="51FDAF2B" w14:textId="77777777" w:rsidR="00210E74" w:rsidRPr="00630664" w:rsidRDefault="00210E74" w:rsidP="005669B3">
            <w:pPr>
              <w:pStyle w:val="table-text"/>
              <w:spacing w:before="30" w:after="30"/>
              <w:ind w:right="346"/>
              <w:jc w:val="right"/>
            </w:pPr>
            <w:r w:rsidRPr="00630664">
              <w:t>RC</w:t>
            </w:r>
          </w:p>
        </w:tc>
        <w:tc>
          <w:tcPr>
            <w:tcW w:w="1161" w:type="dxa"/>
            <w:vAlign w:val="bottom"/>
          </w:tcPr>
          <w:p w14:paraId="0C35E761" w14:textId="77777777" w:rsidR="00210E74" w:rsidRPr="00630664" w:rsidRDefault="00210E74" w:rsidP="005669B3">
            <w:pPr>
              <w:pStyle w:val="table-text"/>
              <w:spacing w:before="30" w:after="30"/>
              <w:ind w:right="346"/>
              <w:jc w:val="right"/>
            </w:pPr>
            <w:r w:rsidRPr="00630664">
              <w:t>RC</w:t>
            </w:r>
          </w:p>
        </w:tc>
        <w:tc>
          <w:tcPr>
            <w:tcW w:w="1080" w:type="dxa"/>
            <w:vAlign w:val="bottom"/>
          </w:tcPr>
          <w:p w14:paraId="0AFA3727" w14:textId="77777777" w:rsidR="00210E74" w:rsidRPr="00630664" w:rsidRDefault="00210E74" w:rsidP="005669B3">
            <w:pPr>
              <w:pStyle w:val="table-text"/>
              <w:spacing w:before="30" w:after="30"/>
              <w:ind w:right="346"/>
              <w:jc w:val="right"/>
            </w:pPr>
            <w:r w:rsidRPr="00630664">
              <w:t>RC</w:t>
            </w:r>
          </w:p>
        </w:tc>
        <w:tc>
          <w:tcPr>
            <w:tcW w:w="1478" w:type="dxa"/>
            <w:vAlign w:val="bottom"/>
          </w:tcPr>
          <w:p w14:paraId="3C228E83"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14C20C09"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735483F1" w14:textId="77777777" w:rsidR="00210E74" w:rsidRPr="00630664" w:rsidRDefault="00210E74" w:rsidP="005669B3">
            <w:pPr>
              <w:pStyle w:val="table-text"/>
              <w:spacing w:before="30" w:after="30"/>
              <w:ind w:right="346"/>
              <w:jc w:val="right"/>
            </w:pPr>
            <w:r w:rsidRPr="00630664">
              <w:t>RC</w:t>
            </w:r>
          </w:p>
        </w:tc>
      </w:tr>
      <w:tr w:rsidR="00210E74" w:rsidRPr="00846C44" w14:paraId="4EEA110C" w14:textId="77777777" w:rsidTr="005669B3">
        <w:trPr>
          <w:cantSplit/>
        </w:trPr>
        <w:tc>
          <w:tcPr>
            <w:tcW w:w="2117" w:type="dxa"/>
          </w:tcPr>
          <w:p w14:paraId="73C8F439" w14:textId="77777777" w:rsidR="00210E74" w:rsidRPr="00630664" w:rsidRDefault="00210E74" w:rsidP="005669B3">
            <w:pPr>
              <w:pStyle w:val="table-textindent"/>
              <w:spacing w:before="30" w:after="30"/>
            </w:pPr>
            <w:r w:rsidRPr="00630664">
              <w:t>Mixed Mode</w:t>
            </w:r>
          </w:p>
        </w:tc>
        <w:tc>
          <w:tcPr>
            <w:tcW w:w="1222" w:type="dxa"/>
            <w:vAlign w:val="bottom"/>
          </w:tcPr>
          <w:p w14:paraId="7F4E18CD" w14:textId="77777777" w:rsidR="00210E74" w:rsidRPr="00630664" w:rsidRDefault="00210E74" w:rsidP="005669B3">
            <w:pPr>
              <w:pStyle w:val="table-text"/>
              <w:spacing w:before="30" w:after="30"/>
              <w:ind w:right="346"/>
              <w:jc w:val="right"/>
            </w:pPr>
            <w:r w:rsidRPr="00630664">
              <w:t>-0.073</w:t>
            </w:r>
          </w:p>
        </w:tc>
        <w:tc>
          <w:tcPr>
            <w:tcW w:w="1161" w:type="dxa"/>
            <w:vAlign w:val="bottom"/>
          </w:tcPr>
          <w:p w14:paraId="721A7877" w14:textId="77777777" w:rsidR="00210E74" w:rsidRPr="00630664" w:rsidRDefault="00210E74" w:rsidP="005669B3">
            <w:pPr>
              <w:pStyle w:val="table-text"/>
              <w:spacing w:before="30" w:after="30"/>
              <w:ind w:right="346"/>
              <w:jc w:val="right"/>
            </w:pPr>
            <w:r w:rsidRPr="00630664">
              <w:t>-0.094</w:t>
            </w:r>
          </w:p>
        </w:tc>
        <w:tc>
          <w:tcPr>
            <w:tcW w:w="1080" w:type="dxa"/>
            <w:vAlign w:val="bottom"/>
          </w:tcPr>
          <w:p w14:paraId="7C8C6124" w14:textId="77777777" w:rsidR="00210E74" w:rsidRPr="00630664" w:rsidRDefault="00210E74" w:rsidP="005669B3">
            <w:pPr>
              <w:pStyle w:val="table-text"/>
              <w:spacing w:before="30" w:after="30"/>
              <w:ind w:right="346"/>
              <w:jc w:val="right"/>
            </w:pPr>
            <w:r w:rsidRPr="00630664">
              <w:t>0.479</w:t>
            </w:r>
          </w:p>
        </w:tc>
        <w:tc>
          <w:tcPr>
            <w:tcW w:w="1478" w:type="dxa"/>
            <w:vAlign w:val="bottom"/>
          </w:tcPr>
          <w:p w14:paraId="3077A248" w14:textId="77777777" w:rsidR="00210E74" w:rsidRPr="00630664" w:rsidRDefault="00210E74" w:rsidP="005669B3">
            <w:pPr>
              <w:pStyle w:val="table-text"/>
              <w:spacing w:before="30" w:after="30"/>
              <w:ind w:right="346"/>
              <w:jc w:val="right"/>
            </w:pPr>
            <w:r w:rsidRPr="00630664">
              <w:t>-0.242</w:t>
            </w:r>
          </w:p>
        </w:tc>
        <w:tc>
          <w:tcPr>
            <w:tcW w:w="1223" w:type="dxa"/>
            <w:vAlign w:val="bottom"/>
          </w:tcPr>
          <w:p w14:paraId="789975E6" w14:textId="77777777" w:rsidR="00210E74" w:rsidRPr="00630664" w:rsidRDefault="00210E74" w:rsidP="005669B3">
            <w:pPr>
              <w:pStyle w:val="table-text"/>
              <w:spacing w:before="30" w:after="30"/>
              <w:ind w:right="346"/>
              <w:jc w:val="right"/>
            </w:pPr>
            <w:r w:rsidRPr="00630664">
              <w:t>-0.648</w:t>
            </w:r>
          </w:p>
        </w:tc>
        <w:tc>
          <w:tcPr>
            <w:tcW w:w="1223" w:type="dxa"/>
            <w:vAlign w:val="bottom"/>
          </w:tcPr>
          <w:p w14:paraId="324CFF47" w14:textId="77777777" w:rsidR="00210E74" w:rsidRPr="00630664" w:rsidRDefault="00210E74" w:rsidP="005669B3">
            <w:pPr>
              <w:pStyle w:val="table-text"/>
              <w:spacing w:before="30" w:after="30"/>
              <w:ind w:right="346"/>
              <w:jc w:val="right"/>
            </w:pPr>
            <w:r w:rsidRPr="00630664">
              <w:t>1.292</w:t>
            </w:r>
          </w:p>
        </w:tc>
      </w:tr>
      <w:tr w:rsidR="00210E74" w:rsidRPr="00846C44" w14:paraId="1048F14D" w14:textId="77777777" w:rsidTr="005669B3">
        <w:trPr>
          <w:cantSplit/>
        </w:trPr>
        <w:tc>
          <w:tcPr>
            <w:tcW w:w="2117" w:type="dxa"/>
            <w:hideMark/>
          </w:tcPr>
          <w:p w14:paraId="049CD36D" w14:textId="77777777" w:rsidR="00210E74" w:rsidRDefault="00210E74" w:rsidP="005669B3">
            <w:pPr>
              <w:pStyle w:val="table-text"/>
              <w:spacing w:before="30" w:after="30"/>
            </w:pPr>
            <w:r>
              <w:t>Someone Helped Patient Complete Survey</w:t>
            </w:r>
          </w:p>
          <w:p w14:paraId="0F67BCD1" w14:textId="77777777" w:rsidR="00210E74" w:rsidRPr="00630664" w:rsidRDefault="00210E74" w:rsidP="005669B3">
            <w:pPr>
              <w:pStyle w:val="table-textindent"/>
              <w:spacing w:before="30" w:after="30"/>
            </w:pPr>
            <w:r w:rsidRPr="00630664">
              <w:t>Yes</w:t>
            </w:r>
          </w:p>
        </w:tc>
        <w:tc>
          <w:tcPr>
            <w:tcW w:w="1222" w:type="dxa"/>
            <w:vAlign w:val="bottom"/>
          </w:tcPr>
          <w:p w14:paraId="19C34497" w14:textId="77777777" w:rsidR="00210E74" w:rsidRPr="00630664" w:rsidRDefault="00210E74" w:rsidP="005669B3">
            <w:pPr>
              <w:pStyle w:val="table-text"/>
              <w:spacing w:before="30" w:after="30"/>
              <w:ind w:right="346"/>
              <w:jc w:val="right"/>
            </w:pPr>
            <w:r w:rsidRPr="00630664">
              <w:t>-0.494</w:t>
            </w:r>
          </w:p>
        </w:tc>
        <w:tc>
          <w:tcPr>
            <w:tcW w:w="1161" w:type="dxa"/>
            <w:vAlign w:val="bottom"/>
          </w:tcPr>
          <w:p w14:paraId="732B2434" w14:textId="77777777" w:rsidR="00210E74" w:rsidRPr="00630664" w:rsidRDefault="00210E74" w:rsidP="005669B3">
            <w:pPr>
              <w:pStyle w:val="table-text"/>
              <w:spacing w:before="30" w:after="30"/>
              <w:ind w:right="346"/>
              <w:jc w:val="right"/>
            </w:pPr>
            <w:r w:rsidRPr="00630664">
              <w:t>-0.3491</w:t>
            </w:r>
          </w:p>
        </w:tc>
        <w:tc>
          <w:tcPr>
            <w:tcW w:w="1080" w:type="dxa"/>
            <w:vAlign w:val="bottom"/>
          </w:tcPr>
          <w:p w14:paraId="5918C671" w14:textId="77777777" w:rsidR="00210E74" w:rsidRPr="00630664" w:rsidRDefault="00210E74" w:rsidP="005669B3">
            <w:pPr>
              <w:pStyle w:val="table-text"/>
              <w:spacing w:before="30" w:after="30"/>
              <w:ind w:right="346"/>
              <w:jc w:val="right"/>
            </w:pPr>
            <w:r w:rsidRPr="00630664">
              <w:t>-0.2264</w:t>
            </w:r>
          </w:p>
        </w:tc>
        <w:tc>
          <w:tcPr>
            <w:tcW w:w="1478" w:type="dxa"/>
            <w:vAlign w:val="bottom"/>
          </w:tcPr>
          <w:p w14:paraId="2681B817" w14:textId="77777777" w:rsidR="00210E74" w:rsidRPr="00630664" w:rsidRDefault="00210E74" w:rsidP="005669B3">
            <w:pPr>
              <w:pStyle w:val="table-text"/>
              <w:spacing w:before="30" w:after="30"/>
              <w:ind w:right="346"/>
              <w:jc w:val="right"/>
            </w:pPr>
            <w:r w:rsidRPr="00630664">
              <w:t>-0.8021</w:t>
            </w:r>
          </w:p>
        </w:tc>
        <w:tc>
          <w:tcPr>
            <w:tcW w:w="1223" w:type="dxa"/>
            <w:vAlign w:val="bottom"/>
          </w:tcPr>
          <w:p w14:paraId="5980186E" w14:textId="77777777" w:rsidR="00210E74" w:rsidRPr="00630664" w:rsidRDefault="00210E74" w:rsidP="005669B3">
            <w:pPr>
              <w:pStyle w:val="table-text"/>
              <w:spacing w:before="30" w:after="30"/>
              <w:ind w:right="346"/>
              <w:jc w:val="right"/>
            </w:pPr>
            <w:r w:rsidRPr="00630664">
              <w:t>-1.468</w:t>
            </w:r>
          </w:p>
        </w:tc>
        <w:tc>
          <w:tcPr>
            <w:tcW w:w="1223" w:type="dxa"/>
            <w:vAlign w:val="bottom"/>
          </w:tcPr>
          <w:p w14:paraId="22361824" w14:textId="77777777" w:rsidR="00210E74" w:rsidRPr="00630664" w:rsidRDefault="00210E74" w:rsidP="005669B3">
            <w:pPr>
              <w:pStyle w:val="table-text"/>
              <w:spacing w:before="30" w:after="30"/>
              <w:ind w:right="346"/>
              <w:jc w:val="right"/>
            </w:pPr>
            <w:r w:rsidRPr="00630664">
              <w:t>-4.0909</w:t>
            </w:r>
          </w:p>
        </w:tc>
      </w:tr>
      <w:tr w:rsidR="00210E74" w:rsidRPr="00846C44" w14:paraId="6C60DAE6" w14:textId="77777777" w:rsidTr="005669B3">
        <w:trPr>
          <w:cantSplit/>
        </w:trPr>
        <w:tc>
          <w:tcPr>
            <w:tcW w:w="2117" w:type="dxa"/>
            <w:hideMark/>
          </w:tcPr>
          <w:p w14:paraId="595DD0BE" w14:textId="77777777" w:rsidR="00210E74" w:rsidRPr="00630664" w:rsidRDefault="00210E74" w:rsidP="005669B3">
            <w:pPr>
              <w:pStyle w:val="table-textindent"/>
              <w:spacing w:before="30" w:after="30"/>
            </w:pPr>
            <w:r w:rsidRPr="00630664">
              <w:t>No</w:t>
            </w:r>
          </w:p>
        </w:tc>
        <w:tc>
          <w:tcPr>
            <w:tcW w:w="1222" w:type="dxa"/>
            <w:vAlign w:val="bottom"/>
          </w:tcPr>
          <w:p w14:paraId="7F1DE495" w14:textId="77777777" w:rsidR="00210E74" w:rsidRPr="00630664" w:rsidRDefault="00210E74" w:rsidP="005669B3">
            <w:pPr>
              <w:pStyle w:val="table-text"/>
              <w:spacing w:before="30" w:after="30"/>
              <w:ind w:right="346"/>
              <w:jc w:val="right"/>
            </w:pPr>
            <w:r w:rsidRPr="00630664">
              <w:t>RC</w:t>
            </w:r>
          </w:p>
        </w:tc>
        <w:tc>
          <w:tcPr>
            <w:tcW w:w="1161" w:type="dxa"/>
            <w:vAlign w:val="bottom"/>
          </w:tcPr>
          <w:p w14:paraId="38D726FC" w14:textId="77777777" w:rsidR="00210E74" w:rsidRPr="00630664" w:rsidRDefault="00210E74" w:rsidP="005669B3">
            <w:pPr>
              <w:pStyle w:val="table-text"/>
              <w:spacing w:before="30" w:after="30"/>
              <w:ind w:right="346"/>
              <w:jc w:val="right"/>
            </w:pPr>
            <w:r w:rsidRPr="00630664">
              <w:t>RC</w:t>
            </w:r>
          </w:p>
        </w:tc>
        <w:tc>
          <w:tcPr>
            <w:tcW w:w="1080" w:type="dxa"/>
            <w:vAlign w:val="bottom"/>
          </w:tcPr>
          <w:p w14:paraId="30FF58F4" w14:textId="77777777" w:rsidR="00210E74" w:rsidRPr="00630664" w:rsidRDefault="00210E74" w:rsidP="005669B3">
            <w:pPr>
              <w:pStyle w:val="table-text"/>
              <w:spacing w:before="30" w:after="30"/>
              <w:ind w:right="346"/>
              <w:jc w:val="right"/>
            </w:pPr>
            <w:r w:rsidRPr="00630664">
              <w:t>RC</w:t>
            </w:r>
          </w:p>
        </w:tc>
        <w:tc>
          <w:tcPr>
            <w:tcW w:w="1478" w:type="dxa"/>
            <w:vAlign w:val="bottom"/>
          </w:tcPr>
          <w:p w14:paraId="4F046673"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76DB3380"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52539AA7" w14:textId="77777777" w:rsidR="00210E74" w:rsidRPr="00630664" w:rsidRDefault="00210E74" w:rsidP="005669B3">
            <w:pPr>
              <w:pStyle w:val="table-text"/>
              <w:spacing w:before="30" w:after="30"/>
              <w:ind w:right="346"/>
              <w:jc w:val="right"/>
            </w:pPr>
            <w:r w:rsidRPr="00630664">
              <w:t>RC</w:t>
            </w:r>
          </w:p>
        </w:tc>
      </w:tr>
      <w:tr w:rsidR="00210E74" w:rsidRPr="00846C44" w14:paraId="3BC11D3F" w14:textId="77777777" w:rsidTr="005669B3">
        <w:trPr>
          <w:cantSplit/>
        </w:trPr>
        <w:tc>
          <w:tcPr>
            <w:tcW w:w="2117" w:type="dxa"/>
            <w:hideMark/>
          </w:tcPr>
          <w:p w14:paraId="5ABA886A" w14:textId="77777777" w:rsidR="00210E74" w:rsidRDefault="00210E74" w:rsidP="005669B3">
            <w:pPr>
              <w:pStyle w:val="table-text"/>
              <w:spacing w:before="30" w:after="30"/>
            </w:pPr>
            <w:r>
              <w:t>Patient Speaks Language other than English at Home</w:t>
            </w:r>
          </w:p>
          <w:p w14:paraId="411022D9" w14:textId="77777777" w:rsidR="00210E74" w:rsidRPr="00630664" w:rsidRDefault="00210E74" w:rsidP="005669B3">
            <w:pPr>
              <w:pStyle w:val="table-textindent"/>
              <w:spacing w:before="30" w:after="30"/>
            </w:pPr>
            <w:r w:rsidRPr="00630664">
              <w:t>Yes</w:t>
            </w:r>
          </w:p>
        </w:tc>
        <w:tc>
          <w:tcPr>
            <w:tcW w:w="1222" w:type="dxa"/>
            <w:vAlign w:val="bottom"/>
          </w:tcPr>
          <w:p w14:paraId="2315BE98" w14:textId="77777777" w:rsidR="00210E74" w:rsidRPr="00630664" w:rsidRDefault="00210E74" w:rsidP="005669B3">
            <w:pPr>
              <w:pStyle w:val="table-text"/>
              <w:spacing w:before="30" w:after="30"/>
              <w:ind w:right="346"/>
              <w:jc w:val="right"/>
            </w:pPr>
            <w:r w:rsidRPr="00630664">
              <w:t>0.974</w:t>
            </w:r>
          </w:p>
        </w:tc>
        <w:tc>
          <w:tcPr>
            <w:tcW w:w="1161" w:type="dxa"/>
            <w:vAlign w:val="bottom"/>
          </w:tcPr>
          <w:p w14:paraId="143D85F1" w14:textId="77777777" w:rsidR="00210E74" w:rsidRPr="00630664" w:rsidRDefault="00210E74" w:rsidP="005669B3">
            <w:pPr>
              <w:pStyle w:val="table-text"/>
              <w:spacing w:before="30" w:after="30"/>
              <w:ind w:right="346"/>
              <w:jc w:val="right"/>
            </w:pPr>
            <w:r w:rsidRPr="00630664">
              <w:t>0.4518</w:t>
            </w:r>
          </w:p>
        </w:tc>
        <w:tc>
          <w:tcPr>
            <w:tcW w:w="1080" w:type="dxa"/>
            <w:vAlign w:val="bottom"/>
          </w:tcPr>
          <w:p w14:paraId="17483549" w14:textId="77777777" w:rsidR="00210E74" w:rsidRPr="00630664" w:rsidRDefault="00210E74" w:rsidP="005669B3">
            <w:pPr>
              <w:pStyle w:val="table-text"/>
              <w:spacing w:before="30" w:after="30"/>
              <w:ind w:right="346"/>
              <w:jc w:val="right"/>
            </w:pPr>
            <w:r w:rsidRPr="00630664">
              <w:t>-0.4487</w:t>
            </w:r>
          </w:p>
        </w:tc>
        <w:tc>
          <w:tcPr>
            <w:tcW w:w="1478" w:type="dxa"/>
            <w:vAlign w:val="bottom"/>
          </w:tcPr>
          <w:p w14:paraId="4830F6FA" w14:textId="77777777" w:rsidR="00210E74" w:rsidRPr="00630664" w:rsidRDefault="00210E74" w:rsidP="005669B3">
            <w:pPr>
              <w:pStyle w:val="table-text"/>
              <w:spacing w:before="30" w:after="30"/>
              <w:ind w:right="346"/>
              <w:jc w:val="right"/>
            </w:pPr>
            <w:r w:rsidRPr="00630664">
              <w:t>3.4405</w:t>
            </w:r>
          </w:p>
        </w:tc>
        <w:tc>
          <w:tcPr>
            <w:tcW w:w="1223" w:type="dxa"/>
            <w:vAlign w:val="bottom"/>
          </w:tcPr>
          <w:p w14:paraId="197FBD46" w14:textId="77777777" w:rsidR="00210E74" w:rsidRPr="00630664" w:rsidRDefault="00210E74" w:rsidP="005669B3">
            <w:pPr>
              <w:pStyle w:val="table-text"/>
              <w:spacing w:before="30" w:after="30"/>
              <w:ind w:right="346"/>
              <w:jc w:val="right"/>
            </w:pPr>
            <w:r w:rsidRPr="00630664">
              <w:t>1.7737</w:t>
            </w:r>
          </w:p>
        </w:tc>
        <w:tc>
          <w:tcPr>
            <w:tcW w:w="1223" w:type="dxa"/>
            <w:vAlign w:val="bottom"/>
          </w:tcPr>
          <w:p w14:paraId="548CE1D9" w14:textId="77777777" w:rsidR="00210E74" w:rsidRPr="00630664" w:rsidRDefault="00210E74" w:rsidP="005669B3">
            <w:pPr>
              <w:pStyle w:val="table-text"/>
              <w:spacing w:before="30" w:after="30"/>
              <w:ind w:right="346"/>
              <w:jc w:val="right"/>
            </w:pPr>
            <w:r w:rsidRPr="00630664">
              <w:t>1.8038</w:t>
            </w:r>
          </w:p>
        </w:tc>
      </w:tr>
      <w:tr w:rsidR="00210E74" w:rsidRPr="00846C44" w14:paraId="337EA7BF" w14:textId="77777777" w:rsidTr="005669B3">
        <w:trPr>
          <w:cantSplit/>
        </w:trPr>
        <w:tc>
          <w:tcPr>
            <w:tcW w:w="2117" w:type="dxa"/>
            <w:hideMark/>
          </w:tcPr>
          <w:p w14:paraId="7A8BC470" w14:textId="77777777" w:rsidR="00210E74" w:rsidRPr="00630664" w:rsidRDefault="00210E74" w:rsidP="005669B3">
            <w:pPr>
              <w:pStyle w:val="table-textindent"/>
              <w:spacing w:before="30" w:after="30"/>
            </w:pPr>
            <w:r w:rsidRPr="00630664">
              <w:t>No</w:t>
            </w:r>
          </w:p>
        </w:tc>
        <w:tc>
          <w:tcPr>
            <w:tcW w:w="1222" w:type="dxa"/>
            <w:vAlign w:val="bottom"/>
          </w:tcPr>
          <w:p w14:paraId="5EFBF2A0" w14:textId="77777777" w:rsidR="00210E74" w:rsidRPr="00630664" w:rsidRDefault="00210E74" w:rsidP="005669B3">
            <w:pPr>
              <w:pStyle w:val="table-text"/>
              <w:spacing w:before="30" w:after="30"/>
              <w:ind w:right="346"/>
              <w:jc w:val="right"/>
            </w:pPr>
            <w:r w:rsidRPr="00630664">
              <w:t>RC</w:t>
            </w:r>
          </w:p>
        </w:tc>
        <w:tc>
          <w:tcPr>
            <w:tcW w:w="1161" w:type="dxa"/>
            <w:vAlign w:val="bottom"/>
          </w:tcPr>
          <w:p w14:paraId="0297BA5F" w14:textId="77777777" w:rsidR="00210E74" w:rsidRPr="00630664" w:rsidRDefault="00210E74" w:rsidP="005669B3">
            <w:pPr>
              <w:pStyle w:val="table-text"/>
              <w:spacing w:before="30" w:after="30"/>
              <w:ind w:right="346"/>
              <w:jc w:val="right"/>
            </w:pPr>
            <w:r w:rsidRPr="00630664">
              <w:t>RC</w:t>
            </w:r>
          </w:p>
        </w:tc>
        <w:tc>
          <w:tcPr>
            <w:tcW w:w="1080" w:type="dxa"/>
            <w:vAlign w:val="bottom"/>
          </w:tcPr>
          <w:p w14:paraId="11D5849D" w14:textId="77777777" w:rsidR="00210E74" w:rsidRPr="00630664" w:rsidRDefault="00210E74" w:rsidP="005669B3">
            <w:pPr>
              <w:pStyle w:val="table-text"/>
              <w:spacing w:before="30" w:after="30"/>
              <w:ind w:right="346"/>
              <w:jc w:val="right"/>
            </w:pPr>
            <w:r w:rsidRPr="00630664">
              <w:t>RC</w:t>
            </w:r>
          </w:p>
        </w:tc>
        <w:tc>
          <w:tcPr>
            <w:tcW w:w="1478" w:type="dxa"/>
            <w:vAlign w:val="bottom"/>
          </w:tcPr>
          <w:p w14:paraId="474D340F"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77D2F6B1"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734EDCEF" w14:textId="77777777" w:rsidR="00210E74" w:rsidRPr="00630664" w:rsidRDefault="00210E74" w:rsidP="005669B3">
            <w:pPr>
              <w:pStyle w:val="table-text"/>
              <w:spacing w:before="30" w:after="30"/>
              <w:ind w:right="346"/>
              <w:jc w:val="right"/>
            </w:pPr>
            <w:r w:rsidRPr="00630664">
              <w:t>RC</w:t>
            </w:r>
          </w:p>
        </w:tc>
      </w:tr>
      <w:tr w:rsidR="00210E74" w:rsidRPr="00846C44" w14:paraId="574FD7E0" w14:textId="77777777" w:rsidTr="005669B3">
        <w:trPr>
          <w:cantSplit/>
        </w:trPr>
        <w:tc>
          <w:tcPr>
            <w:tcW w:w="2117" w:type="dxa"/>
            <w:hideMark/>
          </w:tcPr>
          <w:p w14:paraId="1CF62C05" w14:textId="77777777" w:rsidR="00210E74" w:rsidRDefault="00210E74" w:rsidP="005669B3">
            <w:pPr>
              <w:pStyle w:val="table-text"/>
              <w:spacing w:before="30" w:after="30"/>
            </w:pPr>
            <w:r>
              <w:t>Overall Health</w:t>
            </w:r>
          </w:p>
          <w:p w14:paraId="2B03894B" w14:textId="77777777" w:rsidR="00210E74" w:rsidRPr="00630664" w:rsidRDefault="00210E74" w:rsidP="005669B3">
            <w:pPr>
              <w:pStyle w:val="table-textindent"/>
              <w:spacing w:before="30" w:after="30"/>
            </w:pPr>
            <w:r w:rsidRPr="00630664">
              <w:t>Excellent</w:t>
            </w:r>
          </w:p>
        </w:tc>
        <w:tc>
          <w:tcPr>
            <w:tcW w:w="1222" w:type="dxa"/>
            <w:vAlign w:val="bottom"/>
          </w:tcPr>
          <w:p w14:paraId="41B6D50B" w14:textId="77777777" w:rsidR="00210E74" w:rsidRPr="00630664" w:rsidRDefault="00210E74" w:rsidP="005669B3">
            <w:pPr>
              <w:pStyle w:val="table-text"/>
              <w:spacing w:before="30" w:after="30"/>
              <w:ind w:right="346"/>
              <w:jc w:val="right"/>
            </w:pPr>
            <w:r w:rsidRPr="00630664">
              <w:t>-3.8877</w:t>
            </w:r>
          </w:p>
        </w:tc>
        <w:tc>
          <w:tcPr>
            <w:tcW w:w="1161" w:type="dxa"/>
            <w:vAlign w:val="bottom"/>
          </w:tcPr>
          <w:p w14:paraId="1E17D5D3" w14:textId="77777777" w:rsidR="00210E74" w:rsidRPr="00630664" w:rsidRDefault="00210E74" w:rsidP="005669B3">
            <w:pPr>
              <w:pStyle w:val="table-text"/>
              <w:spacing w:before="30" w:after="30"/>
              <w:ind w:right="346"/>
              <w:jc w:val="right"/>
            </w:pPr>
            <w:r w:rsidRPr="00630664">
              <w:t>-4.8047</w:t>
            </w:r>
          </w:p>
        </w:tc>
        <w:tc>
          <w:tcPr>
            <w:tcW w:w="1080" w:type="dxa"/>
            <w:vAlign w:val="bottom"/>
          </w:tcPr>
          <w:p w14:paraId="1372B66E" w14:textId="77777777" w:rsidR="00210E74" w:rsidRPr="00630664" w:rsidRDefault="00210E74" w:rsidP="005669B3">
            <w:pPr>
              <w:pStyle w:val="table-text"/>
              <w:spacing w:before="30" w:after="30"/>
              <w:ind w:right="346"/>
              <w:jc w:val="right"/>
            </w:pPr>
            <w:r w:rsidRPr="00630664">
              <w:t>-4.7477</w:t>
            </w:r>
          </w:p>
        </w:tc>
        <w:tc>
          <w:tcPr>
            <w:tcW w:w="1478" w:type="dxa"/>
            <w:vAlign w:val="bottom"/>
          </w:tcPr>
          <w:p w14:paraId="32CD44F9" w14:textId="77777777" w:rsidR="00210E74" w:rsidRPr="00630664" w:rsidRDefault="00210E74" w:rsidP="005669B3">
            <w:pPr>
              <w:pStyle w:val="table-text"/>
              <w:spacing w:before="30" w:after="30"/>
              <w:ind w:right="346"/>
              <w:jc w:val="right"/>
            </w:pPr>
            <w:r w:rsidRPr="00630664">
              <w:t>-3.7305</w:t>
            </w:r>
          </w:p>
        </w:tc>
        <w:tc>
          <w:tcPr>
            <w:tcW w:w="1223" w:type="dxa"/>
            <w:vAlign w:val="bottom"/>
          </w:tcPr>
          <w:p w14:paraId="07DBC1FA" w14:textId="77777777" w:rsidR="00210E74" w:rsidRPr="00630664" w:rsidRDefault="00210E74" w:rsidP="005669B3">
            <w:pPr>
              <w:pStyle w:val="table-text"/>
              <w:spacing w:before="30" w:after="30"/>
              <w:ind w:right="346"/>
              <w:jc w:val="right"/>
            </w:pPr>
            <w:r w:rsidRPr="00630664">
              <w:t>-5.1307</w:t>
            </w:r>
          </w:p>
        </w:tc>
        <w:tc>
          <w:tcPr>
            <w:tcW w:w="1223" w:type="dxa"/>
            <w:vAlign w:val="bottom"/>
          </w:tcPr>
          <w:p w14:paraId="14AD4C2B" w14:textId="77777777" w:rsidR="00210E74" w:rsidRPr="00630664" w:rsidRDefault="00210E74" w:rsidP="005669B3">
            <w:pPr>
              <w:pStyle w:val="table-text"/>
              <w:spacing w:before="30" w:after="30"/>
              <w:ind w:right="346"/>
              <w:jc w:val="right"/>
            </w:pPr>
            <w:r w:rsidRPr="00630664">
              <w:t>-2.3797</w:t>
            </w:r>
          </w:p>
        </w:tc>
      </w:tr>
      <w:tr w:rsidR="00210E74" w:rsidRPr="00846C44" w14:paraId="39222FB0" w14:textId="77777777" w:rsidTr="005669B3">
        <w:trPr>
          <w:cantSplit/>
        </w:trPr>
        <w:tc>
          <w:tcPr>
            <w:tcW w:w="2117" w:type="dxa"/>
            <w:hideMark/>
          </w:tcPr>
          <w:p w14:paraId="2D198671" w14:textId="77777777" w:rsidR="00210E74" w:rsidRPr="00630664" w:rsidRDefault="00210E74" w:rsidP="005669B3">
            <w:pPr>
              <w:pStyle w:val="table-textindent"/>
              <w:spacing w:before="30" w:after="30"/>
            </w:pPr>
            <w:r w:rsidRPr="00630664">
              <w:t>Very Good</w:t>
            </w:r>
          </w:p>
        </w:tc>
        <w:tc>
          <w:tcPr>
            <w:tcW w:w="1222" w:type="dxa"/>
            <w:vAlign w:val="bottom"/>
          </w:tcPr>
          <w:p w14:paraId="47475D44" w14:textId="77777777" w:rsidR="00210E74" w:rsidRPr="00630664" w:rsidRDefault="00210E74" w:rsidP="005669B3">
            <w:pPr>
              <w:pStyle w:val="table-text"/>
              <w:spacing w:before="30" w:after="30"/>
              <w:ind w:right="346"/>
              <w:jc w:val="right"/>
            </w:pPr>
            <w:r w:rsidRPr="00630664">
              <w:t>-1.931</w:t>
            </w:r>
          </w:p>
        </w:tc>
        <w:tc>
          <w:tcPr>
            <w:tcW w:w="1161" w:type="dxa"/>
            <w:vAlign w:val="bottom"/>
          </w:tcPr>
          <w:p w14:paraId="17D1C6BB" w14:textId="77777777" w:rsidR="00210E74" w:rsidRPr="00630664" w:rsidRDefault="00210E74" w:rsidP="005669B3">
            <w:pPr>
              <w:pStyle w:val="table-text"/>
              <w:spacing w:before="30" w:after="30"/>
              <w:ind w:right="346"/>
              <w:jc w:val="right"/>
            </w:pPr>
            <w:r w:rsidRPr="00630664">
              <w:t>-2.0075</w:t>
            </w:r>
          </w:p>
        </w:tc>
        <w:tc>
          <w:tcPr>
            <w:tcW w:w="1080" w:type="dxa"/>
            <w:vAlign w:val="bottom"/>
          </w:tcPr>
          <w:p w14:paraId="65C1C348" w14:textId="77777777" w:rsidR="00210E74" w:rsidRPr="00630664" w:rsidRDefault="00210E74" w:rsidP="005669B3">
            <w:pPr>
              <w:pStyle w:val="table-text"/>
              <w:spacing w:before="30" w:after="30"/>
              <w:ind w:right="346"/>
              <w:jc w:val="right"/>
            </w:pPr>
            <w:r w:rsidRPr="00630664">
              <w:t>-2.0389</w:t>
            </w:r>
          </w:p>
        </w:tc>
        <w:tc>
          <w:tcPr>
            <w:tcW w:w="1478" w:type="dxa"/>
            <w:vAlign w:val="bottom"/>
          </w:tcPr>
          <w:p w14:paraId="556D88B5" w14:textId="77777777" w:rsidR="00210E74" w:rsidRPr="00630664" w:rsidRDefault="00210E74" w:rsidP="005669B3">
            <w:pPr>
              <w:pStyle w:val="table-text"/>
              <w:spacing w:before="30" w:after="30"/>
              <w:ind w:right="346"/>
              <w:jc w:val="right"/>
            </w:pPr>
            <w:r w:rsidRPr="00630664">
              <w:t>-2.0014</w:t>
            </w:r>
          </w:p>
        </w:tc>
        <w:tc>
          <w:tcPr>
            <w:tcW w:w="1223" w:type="dxa"/>
            <w:vAlign w:val="bottom"/>
          </w:tcPr>
          <w:p w14:paraId="662262A4" w14:textId="77777777" w:rsidR="00210E74" w:rsidRPr="00630664" w:rsidRDefault="00210E74" w:rsidP="005669B3">
            <w:pPr>
              <w:pStyle w:val="table-text"/>
              <w:spacing w:before="30" w:after="30"/>
              <w:ind w:right="346"/>
              <w:jc w:val="right"/>
            </w:pPr>
            <w:r w:rsidRPr="00630664">
              <w:t>-2.0722</w:t>
            </w:r>
          </w:p>
        </w:tc>
        <w:tc>
          <w:tcPr>
            <w:tcW w:w="1223" w:type="dxa"/>
            <w:vAlign w:val="bottom"/>
          </w:tcPr>
          <w:p w14:paraId="502F1414" w14:textId="77777777" w:rsidR="00210E74" w:rsidRPr="00630664" w:rsidRDefault="00210E74" w:rsidP="005669B3">
            <w:pPr>
              <w:pStyle w:val="table-text"/>
              <w:spacing w:before="30" w:after="30"/>
              <w:ind w:right="346"/>
              <w:jc w:val="right"/>
            </w:pPr>
            <w:r w:rsidRPr="00630664">
              <w:t>-1.3033</w:t>
            </w:r>
          </w:p>
        </w:tc>
      </w:tr>
      <w:tr w:rsidR="00210E74" w:rsidRPr="00846C44" w14:paraId="7176928A" w14:textId="77777777" w:rsidTr="005669B3">
        <w:trPr>
          <w:cantSplit/>
        </w:trPr>
        <w:tc>
          <w:tcPr>
            <w:tcW w:w="2117" w:type="dxa"/>
            <w:hideMark/>
          </w:tcPr>
          <w:p w14:paraId="6F8C4668" w14:textId="77777777" w:rsidR="00210E74" w:rsidRPr="00630664" w:rsidRDefault="00210E74" w:rsidP="005669B3">
            <w:pPr>
              <w:pStyle w:val="table-textindent"/>
              <w:spacing w:before="30" w:after="30"/>
            </w:pPr>
            <w:r w:rsidRPr="00630664">
              <w:t>Good</w:t>
            </w:r>
          </w:p>
        </w:tc>
        <w:tc>
          <w:tcPr>
            <w:tcW w:w="1222" w:type="dxa"/>
            <w:vAlign w:val="bottom"/>
          </w:tcPr>
          <w:p w14:paraId="7375EAF4" w14:textId="77777777" w:rsidR="00210E74" w:rsidRPr="00630664" w:rsidRDefault="00210E74" w:rsidP="005669B3">
            <w:pPr>
              <w:pStyle w:val="table-text"/>
              <w:spacing w:before="30" w:after="30"/>
              <w:ind w:right="346"/>
              <w:jc w:val="right"/>
            </w:pPr>
            <w:r w:rsidRPr="00630664">
              <w:t>RC</w:t>
            </w:r>
          </w:p>
        </w:tc>
        <w:tc>
          <w:tcPr>
            <w:tcW w:w="1161" w:type="dxa"/>
            <w:vAlign w:val="bottom"/>
          </w:tcPr>
          <w:p w14:paraId="0DC3977E" w14:textId="77777777" w:rsidR="00210E74" w:rsidRPr="00630664" w:rsidRDefault="00210E74" w:rsidP="005669B3">
            <w:pPr>
              <w:pStyle w:val="table-text"/>
              <w:spacing w:before="30" w:after="30"/>
              <w:ind w:right="346"/>
              <w:jc w:val="right"/>
            </w:pPr>
            <w:r w:rsidRPr="00630664">
              <w:t>RC</w:t>
            </w:r>
          </w:p>
        </w:tc>
        <w:tc>
          <w:tcPr>
            <w:tcW w:w="1080" w:type="dxa"/>
            <w:vAlign w:val="bottom"/>
          </w:tcPr>
          <w:p w14:paraId="23977233" w14:textId="77777777" w:rsidR="00210E74" w:rsidRPr="00630664" w:rsidRDefault="00210E74" w:rsidP="005669B3">
            <w:pPr>
              <w:pStyle w:val="table-text"/>
              <w:spacing w:before="30" w:after="30"/>
              <w:ind w:right="346"/>
              <w:jc w:val="right"/>
            </w:pPr>
            <w:r w:rsidRPr="00630664">
              <w:t>RC</w:t>
            </w:r>
          </w:p>
        </w:tc>
        <w:tc>
          <w:tcPr>
            <w:tcW w:w="1478" w:type="dxa"/>
            <w:vAlign w:val="bottom"/>
          </w:tcPr>
          <w:p w14:paraId="0404D590"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4881B048"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32549220" w14:textId="77777777" w:rsidR="00210E74" w:rsidRPr="00630664" w:rsidRDefault="00210E74" w:rsidP="005669B3">
            <w:pPr>
              <w:pStyle w:val="table-text"/>
              <w:spacing w:before="30" w:after="30"/>
              <w:ind w:right="346"/>
              <w:jc w:val="right"/>
            </w:pPr>
            <w:r w:rsidRPr="00630664">
              <w:t>RC</w:t>
            </w:r>
          </w:p>
        </w:tc>
      </w:tr>
      <w:tr w:rsidR="00210E74" w:rsidRPr="00846C44" w14:paraId="72FB3751" w14:textId="77777777" w:rsidTr="005669B3">
        <w:trPr>
          <w:cantSplit/>
        </w:trPr>
        <w:tc>
          <w:tcPr>
            <w:tcW w:w="2117" w:type="dxa"/>
            <w:hideMark/>
          </w:tcPr>
          <w:p w14:paraId="6CE0ABD2" w14:textId="77777777" w:rsidR="00210E74" w:rsidRPr="00630664" w:rsidRDefault="00210E74" w:rsidP="005669B3">
            <w:pPr>
              <w:pStyle w:val="table-textindent"/>
              <w:spacing w:before="30" w:after="30"/>
            </w:pPr>
            <w:r w:rsidRPr="00630664">
              <w:t>Fair</w:t>
            </w:r>
          </w:p>
        </w:tc>
        <w:tc>
          <w:tcPr>
            <w:tcW w:w="1222" w:type="dxa"/>
            <w:vAlign w:val="bottom"/>
          </w:tcPr>
          <w:p w14:paraId="022C8284" w14:textId="77777777" w:rsidR="00210E74" w:rsidRPr="00630664" w:rsidRDefault="00210E74" w:rsidP="005669B3">
            <w:pPr>
              <w:pStyle w:val="table-text"/>
              <w:spacing w:before="30" w:after="30"/>
              <w:ind w:right="346"/>
              <w:jc w:val="right"/>
            </w:pPr>
            <w:r w:rsidRPr="00630664">
              <w:t>1.0951</w:t>
            </w:r>
          </w:p>
        </w:tc>
        <w:tc>
          <w:tcPr>
            <w:tcW w:w="1161" w:type="dxa"/>
            <w:vAlign w:val="bottom"/>
          </w:tcPr>
          <w:p w14:paraId="0097B2BC" w14:textId="77777777" w:rsidR="00210E74" w:rsidRPr="00630664" w:rsidRDefault="00210E74" w:rsidP="005669B3">
            <w:pPr>
              <w:pStyle w:val="table-text"/>
              <w:spacing w:before="30" w:after="30"/>
              <w:ind w:right="346"/>
              <w:jc w:val="right"/>
            </w:pPr>
            <w:r w:rsidRPr="00630664">
              <w:t>1.1762</w:t>
            </w:r>
          </w:p>
        </w:tc>
        <w:tc>
          <w:tcPr>
            <w:tcW w:w="1080" w:type="dxa"/>
            <w:vAlign w:val="bottom"/>
          </w:tcPr>
          <w:p w14:paraId="56B0934A" w14:textId="77777777" w:rsidR="00210E74" w:rsidRPr="00630664" w:rsidRDefault="00210E74" w:rsidP="005669B3">
            <w:pPr>
              <w:pStyle w:val="table-text"/>
              <w:spacing w:before="30" w:after="30"/>
              <w:ind w:right="346"/>
              <w:jc w:val="right"/>
            </w:pPr>
            <w:r w:rsidRPr="00630664">
              <w:t>1.2063</w:t>
            </w:r>
          </w:p>
        </w:tc>
        <w:tc>
          <w:tcPr>
            <w:tcW w:w="1478" w:type="dxa"/>
            <w:vAlign w:val="bottom"/>
          </w:tcPr>
          <w:p w14:paraId="4F0F692C" w14:textId="77777777" w:rsidR="00210E74" w:rsidRPr="00630664" w:rsidRDefault="00210E74" w:rsidP="005669B3">
            <w:pPr>
              <w:pStyle w:val="table-text"/>
              <w:spacing w:before="30" w:after="30"/>
              <w:ind w:right="346"/>
              <w:jc w:val="right"/>
            </w:pPr>
            <w:r w:rsidRPr="00630664">
              <w:t>1.3603</w:t>
            </w:r>
          </w:p>
        </w:tc>
        <w:tc>
          <w:tcPr>
            <w:tcW w:w="1223" w:type="dxa"/>
            <w:vAlign w:val="bottom"/>
          </w:tcPr>
          <w:p w14:paraId="1D42AE47" w14:textId="77777777" w:rsidR="00210E74" w:rsidRPr="00630664" w:rsidRDefault="00210E74" w:rsidP="005669B3">
            <w:pPr>
              <w:pStyle w:val="table-text"/>
              <w:spacing w:before="30" w:after="30"/>
              <w:ind w:right="346"/>
              <w:jc w:val="right"/>
            </w:pPr>
            <w:r w:rsidRPr="00630664">
              <w:t>1.3724</w:t>
            </w:r>
          </w:p>
        </w:tc>
        <w:tc>
          <w:tcPr>
            <w:tcW w:w="1223" w:type="dxa"/>
            <w:vAlign w:val="bottom"/>
          </w:tcPr>
          <w:p w14:paraId="2224A5D9" w14:textId="77777777" w:rsidR="00210E74" w:rsidRPr="00630664" w:rsidRDefault="00210E74" w:rsidP="005669B3">
            <w:pPr>
              <w:pStyle w:val="table-text"/>
              <w:spacing w:before="30" w:after="30"/>
              <w:ind w:right="346"/>
              <w:jc w:val="right"/>
            </w:pPr>
            <w:r w:rsidRPr="00630664">
              <w:t>1.0013</w:t>
            </w:r>
          </w:p>
        </w:tc>
      </w:tr>
      <w:tr w:rsidR="00210E74" w:rsidRPr="00846C44" w14:paraId="608E53A8" w14:textId="77777777" w:rsidTr="005669B3">
        <w:trPr>
          <w:cantSplit/>
        </w:trPr>
        <w:tc>
          <w:tcPr>
            <w:tcW w:w="2117" w:type="dxa"/>
            <w:hideMark/>
          </w:tcPr>
          <w:p w14:paraId="2A861530" w14:textId="77777777" w:rsidR="00210E74" w:rsidRPr="00630664" w:rsidRDefault="00210E74" w:rsidP="005669B3">
            <w:pPr>
              <w:pStyle w:val="table-textindent"/>
              <w:spacing w:before="30" w:after="30"/>
            </w:pPr>
            <w:r w:rsidRPr="00630664">
              <w:t>Poor</w:t>
            </w:r>
          </w:p>
        </w:tc>
        <w:tc>
          <w:tcPr>
            <w:tcW w:w="1222" w:type="dxa"/>
            <w:vAlign w:val="bottom"/>
          </w:tcPr>
          <w:p w14:paraId="74E7A887" w14:textId="77777777" w:rsidR="00210E74" w:rsidRPr="00630664" w:rsidRDefault="00210E74" w:rsidP="005669B3">
            <w:pPr>
              <w:pStyle w:val="table-text"/>
              <w:spacing w:before="30" w:after="30"/>
              <w:ind w:right="346"/>
              <w:jc w:val="right"/>
            </w:pPr>
            <w:r w:rsidRPr="00630664">
              <w:t>3.3743</w:t>
            </w:r>
          </w:p>
        </w:tc>
        <w:tc>
          <w:tcPr>
            <w:tcW w:w="1161" w:type="dxa"/>
            <w:vAlign w:val="bottom"/>
          </w:tcPr>
          <w:p w14:paraId="763937EE" w14:textId="77777777" w:rsidR="00210E74" w:rsidRPr="00630664" w:rsidRDefault="00210E74" w:rsidP="005669B3">
            <w:pPr>
              <w:pStyle w:val="table-text"/>
              <w:spacing w:before="30" w:after="30"/>
              <w:ind w:right="346"/>
              <w:jc w:val="right"/>
            </w:pPr>
            <w:r w:rsidRPr="00630664">
              <w:t>2.9243</w:t>
            </w:r>
          </w:p>
        </w:tc>
        <w:tc>
          <w:tcPr>
            <w:tcW w:w="1080" w:type="dxa"/>
            <w:vAlign w:val="bottom"/>
          </w:tcPr>
          <w:p w14:paraId="0C238D17" w14:textId="77777777" w:rsidR="00210E74" w:rsidRPr="00630664" w:rsidRDefault="00210E74" w:rsidP="005669B3">
            <w:pPr>
              <w:pStyle w:val="table-text"/>
              <w:spacing w:before="30" w:after="30"/>
              <w:ind w:right="346"/>
              <w:jc w:val="right"/>
            </w:pPr>
            <w:r w:rsidRPr="00630664">
              <w:t>3.0612</w:t>
            </w:r>
          </w:p>
        </w:tc>
        <w:tc>
          <w:tcPr>
            <w:tcW w:w="1478" w:type="dxa"/>
            <w:vAlign w:val="bottom"/>
          </w:tcPr>
          <w:p w14:paraId="4AE866EC" w14:textId="77777777" w:rsidR="00210E74" w:rsidRPr="00630664" w:rsidRDefault="00210E74" w:rsidP="005669B3">
            <w:pPr>
              <w:pStyle w:val="table-text"/>
              <w:spacing w:before="30" w:after="30"/>
              <w:ind w:right="346"/>
              <w:jc w:val="right"/>
            </w:pPr>
            <w:r w:rsidRPr="00630664">
              <w:t>4.1643</w:t>
            </w:r>
          </w:p>
        </w:tc>
        <w:tc>
          <w:tcPr>
            <w:tcW w:w="1223" w:type="dxa"/>
            <w:vAlign w:val="bottom"/>
          </w:tcPr>
          <w:p w14:paraId="50C15515" w14:textId="77777777" w:rsidR="00210E74" w:rsidRPr="00630664" w:rsidRDefault="00210E74" w:rsidP="005669B3">
            <w:pPr>
              <w:pStyle w:val="table-text"/>
              <w:spacing w:before="30" w:after="30"/>
              <w:ind w:right="346"/>
              <w:jc w:val="right"/>
            </w:pPr>
            <w:r w:rsidRPr="00630664">
              <w:t>2.9804</w:t>
            </w:r>
          </w:p>
        </w:tc>
        <w:tc>
          <w:tcPr>
            <w:tcW w:w="1223" w:type="dxa"/>
            <w:vAlign w:val="bottom"/>
          </w:tcPr>
          <w:p w14:paraId="23E9EF4E" w14:textId="77777777" w:rsidR="00210E74" w:rsidRPr="00630664" w:rsidRDefault="00210E74" w:rsidP="005669B3">
            <w:pPr>
              <w:pStyle w:val="table-text"/>
              <w:spacing w:before="30" w:after="30"/>
              <w:ind w:right="346"/>
              <w:jc w:val="right"/>
            </w:pPr>
            <w:r w:rsidRPr="00630664">
              <w:t>2.5829</w:t>
            </w:r>
          </w:p>
        </w:tc>
      </w:tr>
      <w:tr w:rsidR="00210E74" w:rsidRPr="00846C44" w14:paraId="40FF5E2E" w14:textId="77777777" w:rsidTr="005669B3">
        <w:trPr>
          <w:cantSplit/>
        </w:trPr>
        <w:tc>
          <w:tcPr>
            <w:tcW w:w="2117" w:type="dxa"/>
            <w:hideMark/>
          </w:tcPr>
          <w:p w14:paraId="4F2C4971" w14:textId="77777777" w:rsidR="00210E74" w:rsidRDefault="00210E74" w:rsidP="005669B3">
            <w:pPr>
              <w:pStyle w:val="table-text"/>
              <w:spacing w:before="30" w:after="30"/>
            </w:pPr>
            <w:r>
              <w:t>Mental Health</w:t>
            </w:r>
          </w:p>
          <w:p w14:paraId="710A6617" w14:textId="77777777" w:rsidR="00210E74" w:rsidRPr="00630664" w:rsidRDefault="00210E74" w:rsidP="005669B3">
            <w:pPr>
              <w:pStyle w:val="table-textindent"/>
              <w:spacing w:before="30" w:after="30"/>
            </w:pPr>
            <w:r w:rsidRPr="00630664">
              <w:t>Excellent</w:t>
            </w:r>
          </w:p>
        </w:tc>
        <w:tc>
          <w:tcPr>
            <w:tcW w:w="1222" w:type="dxa"/>
            <w:vAlign w:val="bottom"/>
          </w:tcPr>
          <w:p w14:paraId="36FB6BBB" w14:textId="77777777" w:rsidR="00210E74" w:rsidRPr="00630664" w:rsidRDefault="00210E74" w:rsidP="005669B3">
            <w:pPr>
              <w:pStyle w:val="table-text"/>
              <w:spacing w:before="30" w:after="30"/>
              <w:ind w:right="346"/>
              <w:jc w:val="right"/>
            </w:pPr>
            <w:r w:rsidRPr="00630664">
              <w:t>-3.6481</w:t>
            </w:r>
          </w:p>
        </w:tc>
        <w:tc>
          <w:tcPr>
            <w:tcW w:w="1161" w:type="dxa"/>
            <w:vAlign w:val="bottom"/>
          </w:tcPr>
          <w:p w14:paraId="6660A3A6" w14:textId="77777777" w:rsidR="00210E74" w:rsidRPr="00630664" w:rsidRDefault="00210E74" w:rsidP="005669B3">
            <w:pPr>
              <w:pStyle w:val="table-text"/>
              <w:spacing w:before="30" w:after="30"/>
              <w:ind w:right="346"/>
              <w:jc w:val="right"/>
            </w:pPr>
            <w:r w:rsidRPr="00630664">
              <w:t>-3.2411</w:t>
            </w:r>
          </w:p>
        </w:tc>
        <w:tc>
          <w:tcPr>
            <w:tcW w:w="1080" w:type="dxa"/>
            <w:vAlign w:val="bottom"/>
          </w:tcPr>
          <w:p w14:paraId="2472F26B" w14:textId="77777777" w:rsidR="00210E74" w:rsidRPr="00630664" w:rsidRDefault="00210E74" w:rsidP="005669B3">
            <w:pPr>
              <w:pStyle w:val="table-text"/>
              <w:spacing w:before="30" w:after="30"/>
              <w:ind w:right="346"/>
              <w:jc w:val="right"/>
            </w:pPr>
            <w:r w:rsidRPr="00630664">
              <w:t>-2.8746</w:t>
            </w:r>
          </w:p>
        </w:tc>
        <w:tc>
          <w:tcPr>
            <w:tcW w:w="1478" w:type="dxa"/>
            <w:vAlign w:val="bottom"/>
          </w:tcPr>
          <w:p w14:paraId="68CAC7EA" w14:textId="77777777" w:rsidR="00210E74" w:rsidRPr="00630664" w:rsidRDefault="00210E74" w:rsidP="005669B3">
            <w:pPr>
              <w:pStyle w:val="table-text"/>
              <w:spacing w:before="30" w:after="30"/>
              <w:ind w:right="346"/>
              <w:jc w:val="right"/>
            </w:pPr>
            <w:r w:rsidRPr="00630664">
              <w:t>-4.4805</w:t>
            </w:r>
          </w:p>
        </w:tc>
        <w:tc>
          <w:tcPr>
            <w:tcW w:w="1223" w:type="dxa"/>
            <w:vAlign w:val="bottom"/>
          </w:tcPr>
          <w:p w14:paraId="46643C11" w14:textId="77777777" w:rsidR="00210E74" w:rsidRPr="00630664" w:rsidRDefault="00210E74" w:rsidP="005669B3">
            <w:pPr>
              <w:pStyle w:val="table-text"/>
              <w:spacing w:before="30" w:after="30"/>
              <w:ind w:right="346"/>
              <w:jc w:val="right"/>
            </w:pPr>
            <w:r w:rsidRPr="00630664">
              <w:t>-3.5249</w:t>
            </w:r>
          </w:p>
        </w:tc>
        <w:tc>
          <w:tcPr>
            <w:tcW w:w="1223" w:type="dxa"/>
            <w:vAlign w:val="bottom"/>
          </w:tcPr>
          <w:p w14:paraId="0E612CC6" w14:textId="77777777" w:rsidR="00210E74" w:rsidRPr="00630664" w:rsidRDefault="00210E74" w:rsidP="005669B3">
            <w:pPr>
              <w:pStyle w:val="table-text"/>
              <w:spacing w:before="30" w:after="30"/>
              <w:ind w:right="346"/>
              <w:jc w:val="right"/>
            </w:pPr>
            <w:r w:rsidRPr="00630664">
              <w:t>-2.7657</w:t>
            </w:r>
          </w:p>
        </w:tc>
      </w:tr>
      <w:tr w:rsidR="00210E74" w:rsidRPr="00846C44" w14:paraId="2858375A" w14:textId="77777777" w:rsidTr="005669B3">
        <w:trPr>
          <w:cantSplit/>
        </w:trPr>
        <w:tc>
          <w:tcPr>
            <w:tcW w:w="2117" w:type="dxa"/>
            <w:hideMark/>
          </w:tcPr>
          <w:p w14:paraId="1FCCD1AC" w14:textId="77777777" w:rsidR="00210E74" w:rsidRPr="00630664" w:rsidRDefault="00210E74" w:rsidP="005669B3">
            <w:pPr>
              <w:pStyle w:val="table-textindent"/>
              <w:spacing w:before="30" w:after="30"/>
            </w:pPr>
            <w:r w:rsidRPr="00630664">
              <w:t>Very Good</w:t>
            </w:r>
          </w:p>
        </w:tc>
        <w:tc>
          <w:tcPr>
            <w:tcW w:w="1222" w:type="dxa"/>
            <w:vAlign w:val="bottom"/>
          </w:tcPr>
          <w:p w14:paraId="0F94677D" w14:textId="77777777" w:rsidR="00210E74" w:rsidRPr="00630664" w:rsidRDefault="00210E74" w:rsidP="005669B3">
            <w:pPr>
              <w:pStyle w:val="table-text"/>
              <w:spacing w:before="30" w:after="30"/>
              <w:ind w:right="346"/>
              <w:jc w:val="right"/>
            </w:pPr>
            <w:r w:rsidRPr="00630664">
              <w:t>-1.734</w:t>
            </w:r>
          </w:p>
        </w:tc>
        <w:tc>
          <w:tcPr>
            <w:tcW w:w="1161" w:type="dxa"/>
            <w:vAlign w:val="bottom"/>
          </w:tcPr>
          <w:p w14:paraId="4B52DC22" w14:textId="77777777" w:rsidR="00210E74" w:rsidRPr="00630664" w:rsidRDefault="00210E74" w:rsidP="005669B3">
            <w:pPr>
              <w:pStyle w:val="table-text"/>
              <w:spacing w:before="30" w:after="30"/>
              <w:ind w:right="346"/>
              <w:jc w:val="right"/>
            </w:pPr>
            <w:r w:rsidRPr="00630664">
              <w:t>-1.4363</w:t>
            </w:r>
          </w:p>
        </w:tc>
        <w:tc>
          <w:tcPr>
            <w:tcW w:w="1080" w:type="dxa"/>
            <w:vAlign w:val="bottom"/>
          </w:tcPr>
          <w:p w14:paraId="44D3E742" w14:textId="77777777" w:rsidR="00210E74" w:rsidRPr="00630664" w:rsidRDefault="00210E74" w:rsidP="005669B3">
            <w:pPr>
              <w:pStyle w:val="table-text"/>
              <w:spacing w:before="30" w:after="30"/>
              <w:ind w:right="346"/>
              <w:jc w:val="right"/>
            </w:pPr>
            <w:r w:rsidRPr="00630664">
              <w:t>-1.2554</w:t>
            </w:r>
          </w:p>
        </w:tc>
        <w:tc>
          <w:tcPr>
            <w:tcW w:w="1478" w:type="dxa"/>
            <w:vAlign w:val="bottom"/>
          </w:tcPr>
          <w:p w14:paraId="105B9FD4" w14:textId="77777777" w:rsidR="00210E74" w:rsidRPr="00630664" w:rsidRDefault="00210E74" w:rsidP="005669B3">
            <w:pPr>
              <w:pStyle w:val="table-text"/>
              <w:spacing w:before="30" w:after="30"/>
              <w:ind w:right="346"/>
              <w:jc w:val="right"/>
            </w:pPr>
            <w:r w:rsidRPr="00630664">
              <w:t>-2.309</w:t>
            </w:r>
          </w:p>
        </w:tc>
        <w:tc>
          <w:tcPr>
            <w:tcW w:w="1223" w:type="dxa"/>
            <w:vAlign w:val="bottom"/>
          </w:tcPr>
          <w:p w14:paraId="260F3B1E" w14:textId="77777777" w:rsidR="00210E74" w:rsidRPr="00630664" w:rsidRDefault="00210E74" w:rsidP="005669B3">
            <w:pPr>
              <w:pStyle w:val="table-text"/>
              <w:spacing w:before="30" w:after="30"/>
              <w:ind w:right="346"/>
              <w:jc w:val="right"/>
            </w:pPr>
            <w:r w:rsidRPr="00630664">
              <w:t>-1.7509</w:t>
            </w:r>
          </w:p>
        </w:tc>
        <w:tc>
          <w:tcPr>
            <w:tcW w:w="1223" w:type="dxa"/>
            <w:vAlign w:val="bottom"/>
          </w:tcPr>
          <w:p w14:paraId="315BC318" w14:textId="77777777" w:rsidR="00210E74" w:rsidRPr="00630664" w:rsidRDefault="00210E74" w:rsidP="005669B3">
            <w:pPr>
              <w:pStyle w:val="table-text"/>
              <w:spacing w:before="30" w:after="30"/>
              <w:ind w:right="346"/>
              <w:jc w:val="right"/>
            </w:pPr>
            <w:r w:rsidRPr="00630664">
              <w:t>-1.4014</w:t>
            </w:r>
          </w:p>
        </w:tc>
      </w:tr>
      <w:tr w:rsidR="00210E74" w:rsidRPr="00846C44" w14:paraId="0F2A8E7D" w14:textId="77777777" w:rsidTr="005669B3">
        <w:trPr>
          <w:cantSplit/>
        </w:trPr>
        <w:tc>
          <w:tcPr>
            <w:tcW w:w="2117" w:type="dxa"/>
            <w:hideMark/>
          </w:tcPr>
          <w:p w14:paraId="5B50440C" w14:textId="77777777" w:rsidR="00210E74" w:rsidRPr="00630664" w:rsidRDefault="00210E74" w:rsidP="005669B3">
            <w:pPr>
              <w:pStyle w:val="table-textindent"/>
              <w:spacing w:before="30" w:after="30"/>
            </w:pPr>
            <w:r w:rsidRPr="00630664">
              <w:t>Good</w:t>
            </w:r>
          </w:p>
        </w:tc>
        <w:tc>
          <w:tcPr>
            <w:tcW w:w="1222" w:type="dxa"/>
            <w:vAlign w:val="bottom"/>
          </w:tcPr>
          <w:p w14:paraId="314F5DB9" w14:textId="77777777" w:rsidR="00210E74" w:rsidRPr="00630664" w:rsidRDefault="00210E74" w:rsidP="005669B3">
            <w:pPr>
              <w:pStyle w:val="table-text"/>
              <w:spacing w:before="30" w:after="30"/>
              <w:ind w:right="346"/>
              <w:jc w:val="right"/>
            </w:pPr>
            <w:r w:rsidRPr="00630664">
              <w:t>RC</w:t>
            </w:r>
          </w:p>
        </w:tc>
        <w:tc>
          <w:tcPr>
            <w:tcW w:w="1161" w:type="dxa"/>
            <w:vAlign w:val="bottom"/>
          </w:tcPr>
          <w:p w14:paraId="4CCB421F" w14:textId="77777777" w:rsidR="00210E74" w:rsidRPr="00630664" w:rsidRDefault="00210E74" w:rsidP="005669B3">
            <w:pPr>
              <w:pStyle w:val="table-text"/>
              <w:spacing w:before="30" w:after="30"/>
              <w:ind w:right="346"/>
              <w:jc w:val="right"/>
            </w:pPr>
            <w:r w:rsidRPr="00630664">
              <w:t>RC</w:t>
            </w:r>
          </w:p>
        </w:tc>
        <w:tc>
          <w:tcPr>
            <w:tcW w:w="1080" w:type="dxa"/>
            <w:vAlign w:val="bottom"/>
          </w:tcPr>
          <w:p w14:paraId="2CB476C8" w14:textId="77777777" w:rsidR="00210E74" w:rsidRPr="00630664" w:rsidRDefault="00210E74" w:rsidP="005669B3">
            <w:pPr>
              <w:pStyle w:val="table-text"/>
              <w:spacing w:before="30" w:after="30"/>
              <w:ind w:right="346"/>
              <w:jc w:val="right"/>
            </w:pPr>
            <w:r w:rsidRPr="00630664">
              <w:t>RC</w:t>
            </w:r>
          </w:p>
        </w:tc>
        <w:tc>
          <w:tcPr>
            <w:tcW w:w="1478" w:type="dxa"/>
            <w:vAlign w:val="bottom"/>
          </w:tcPr>
          <w:p w14:paraId="223D9021"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2ECF01AE" w14:textId="77777777" w:rsidR="00210E74" w:rsidRPr="00630664" w:rsidRDefault="00210E74" w:rsidP="005669B3">
            <w:pPr>
              <w:pStyle w:val="table-text"/>
              <w:spacing w:before="30" w:after="30"/>
              <w:ind w:right="346"/>
              <w:jc w:val="right"/>
            </w:pPr>
            <w:r w:rsidRPr="00630664">
              <w:t>RC</w:t>
            </w:r>
          </w:p>
        </w:tc>
        <w:tc>
          <w:tcPr>
            <w:tcW w:w="1223" w:type="dxa"/>
            <w:vAlign w:val="bottom"/>
          </w:tcPr>
          <w:p w14:paraId="568032D2" w14:textId="77777777" w:rsidR="00210E74" w:rsidRPr="00630664" w:rsidRDefault="00210E74" w:rsidP="005669B3">
            <w:pPr>
              <w:pStyle w:val="table-text"/>
              <w:spacing w:before="30" w:after="30"/>
              <w:ind w:right="346"/>
              <w:jc w:val="right"/>
            </w:pPr>
            <w:r w:rsidRPr="00630664">
              <w:t>RC</w:t>
            </w:r>
          </w:p>
        </w:tc>
      </w:tr>
      <w:tr w:rsidR="00210E74" w:rsidRPr="00846C44" w14:paraId="58AC2AEC" w14:textId="77777777" w:rsidTr="005669B3">
        <w:trPr>
          <w:cantSplit/>
        </w:trPr>
        <w:tc>
          <w:tcPr>
            <w:tcW w:w="2117" w:type="dxa"/>
            <w:hideMark/>
          </w:tcPr>
          <w:p w14:paraId="6EA90FF9" w14:textId="77777777" w:rsidR="00210E74" w:rsidRPr="00630664" w:rsidRDefault="00210E74" w:rsidP="005669B3">
            <w:pPr>
              <w:pStyle w:val="table-textindent"/>
              <w:spacing w:before="30" w:after="30"/>
            </w:pPr>
            <w:r w:rsidRPr="00630664">
              <w:t>Fair</w:t>
            </w:r>
          </w:p>
        </w:tc>
        <w:tc>
          <w:tcPr>
            <w:tcW w:w="1222" w:type="dxa"/>
            <w:vAlign w:val="bottom"/>
          </w:tcPr>
          <w:p w14:paraId="66D6B6FF" w14:textId="77777777" w:rsidR="00210E74" w:rsidRPr="00630664" w:rsidRDefault="00210E74" w:rsidP="005669B3">
            <w:pPr>
              <w:pStyle w:val="table-text"/>
              <w:spacing w:before="30" w:after="30"/>
              <w:ind w:right="346"/>
              <w:jc w:val="right"/>
            </w:pPr>
            <w:r w:rsidRPr="00630664">
              <w:t>2.0882</w:t>
            </w:r>
          </w:p>
        </w:tc>
        <w:tc>
          <w:tcPr>
            <w:tcW w:w="1161" w:type="dxa"/>
            <w:vAlign w:val="bottom"/>
          </w:tcPr>
          <w:p w14:paraId="56373212" w14:textId="77777777" w:rsidR="00210E74" w:rsidRPr="00630664" w:rsidRDefault="00210E74" w:rsidP="005669B3">
            <w:pPr>
              <w:pStyle w:val="table-text"/>
              <w:spacing w:before="30" w:after="30"/>
              <w:ind w:right="346"/>
              <w:jc w:val="right"/>
            </w:pPr>
            <w:r w:rsidRPr="00630664">
              <w:t>1.6441</w:t>
            </w:r>
          </w:p>
        </w:tc>
        <w:tc>
          <w:tcPr>
            <w:tcW w:w="1080" w:type="dxa"/>
            <w:vAlign w:val="bottom"/>
          </w:tcPr>
          <w:p w14:paraId="1E88C9C9" w14:textId="77777777" w:rsidR="00210E74" w:rsidRPr="00630664" w:rsidRDefault="00210E74" w:rsidP="005669B3">
            <w:pPr>
              <w:pStyle w:val="table-text"/>
              <w:spacing w:before="30" w:after="30"/>
              <w:ind w:right="346"/>
              <w:jc w:val="right"/>
            </w:pPr>
            <w:r w:rsidRPr="00630664">
              <w:t>1.615</w:t>
            </w:r>
          </w:p>
        </w:tc>
        <w:tc>
          <w:tcPr>
            <w:tcW w:w="1478" w:type="dxa"/>
            <w:vAlign w:val="bottom"/>
          </w:tcPr>
          <w:p w14:paraId="00B1F76B" w14:textId="77777777" w:rsidR="00210E74" w:rsidRPr="00630664" w:rsidRDefault="00210E74" w:rsidP="005669B3">
            <w:pPr>
              <w:pStyle w:val="table-text"/>
              <w:spacing w:before="30" w:after="30"/>
              <w:ind w:right="346"/>
              <w:jc w:val="right"/>
            </w:pPr>
            <w:r w:rsidRPr="00630664">
              <w:t>2.9755</w:t>
            </w:r>
          </w:p>
        </w:tc>
        <w:tc>
          <w:tcPr>
            <w:tcW w:w="1223" w:type="dxa"/>
            <w:vAlign w:val="bottom"/>
          </w:tcPr>
          <w:p w14:paraId="466D7DB7" w14:textId="77777777" w:rsidR="00210E74" w:rsidRPr="00630664" w:rsidRDefault="00210E74" w:rsidP="005669B3">
            <w:pPr>
              <w:pStyle w:val="table-text"/>
              <w:spacing w:before="30" w:after="30"/>
              <w:ind w:right="346"/>
              <w:jc w:val="right"/>
            </w:pPr>
            <w:r w:rsidRPr="00630664">
              <w:t>2.3664</w:t>
            </w:r>
          </w:p>
        </w:tc>
        <w:tc>
          <w:tcPr>
            <w:tcW w:w="1223" w:type="dxa"/>
            <w:vAlign w:val="bottom"/>
          </w:tcPr>
          <w:p w14:paraId="717CB802" w14:textId="77777777" w:rsidR="00210E74" w:rsidRPr="00630664" w:rsidRDefault="00210E74" w:rsidP="005669B3">
            <w:pPr>
              <w:pStyle w:val="table-text"/>
              <w:spacing w:before="30" w:after="30"/>
              <w:ind w:right="346"/>
              <w:jc w:val="right"/>
            </w:pPr>
            <w:r w:rsidRPr="00630664">
              <w:t>2.3396</w:t>
            </w:r>
          </w:p>
        </w:tc>
      </w:tr>
      <w:tr w:rsidR="00210E74" w:rsidRPr="00846C44" w14:paraId="024C4ADC" w14:textId="77777777" w:rsidTr="005669B3">
        <w:trPr>
          <w:cantSplit/>
        </w:trPr>
        <w:tc>
          <w:tcPr>
            <w:tcW w:w="2117" w:type="dxa"/>
            <w:hideMark/>
          </w:tcPr>
          <w:p w14:paraId="5FF785DC" w14:textId="77777777" w:rsidR="00210E74" w:rsidRPr="00630664" w:rsidRDefault="00210E74" w:rsidP="005669B3">
            <w:pPr>
              <w:pStyle w:val="table-textindent"/>
              <w:spacing w:before="30" w:after="30"/>
            </w:pPr>
            <w:r w:rsidRPr="00630664">
              <w:t>Poor</w:t>
            </w:r>
          </w:p>
        </w:tc>
        <w:tc>
          <w:tcPr>
            <w:tcW w:w="1222" w:type="dxa"/>
            <w:vAlign w:val="bottom"/>
          </w:tcPr>
          <w:p w14:paraId="35D738DE" w14:textId="77777777" w:rsidR="00210E74" w:rsidRPr="00630664" w:rsidRDefault="00210E74" w:rsidP="005669B3">
            <w:pPr>
              <w:pStyle w:val="table-text"/>
              <w:spacing w:before="30" w:after="30"/>
              <w:ind w:right="346"/>
              <w:jc w:val="right"/>
            </w:pPr>
            <w:r w:rsidRPr="00630664">
              <w:t>6.3712</w:t>
            </w:r>
          </w:p>
        </w:tc>
        <w:tc>
          <w:tcPr>
            <w:tcW w:w="1161" w:type="dxa"/>
            <w:vAlign w:val="bottom"/>
          </w:tcPr>
          <w:p w14:paraId="1CAD5E5D" w14:textId="77777777" w:rsidR="00210E74" w:rsidRPr="00630664" w:rsidRDefault="00210E74" w:rsidP="005669B3">
            <w:pPr>
              <w:pStyle w:val="table-text"/>
              <w:spacing w:before="30" w:after="30"/>
              <w:ind w:right="346"/>
              <w:jc w:val="right"/>
            </w:pPr>
            <w:r w:rsidRPr="00630664">
              <w:t>5.5931</w:t>
            </w:r>
          </w:p>
        </w:tc>
        <w:tc>
          <w:tcPr>
            <w:tcW w:w="1080" w:type="dxa"/>
            <w:vAlign w:val="bottom"/>
          </w:tcPr>
          <w:p w14:paraId="4209D4BA" w14:textId="77777777" w:rsidR="00210E74" w:rsidRPr="00630664" w:rsidRDefault="00210E74" w:rsidP="005669B3">
            <w:pPr>
              <w:pStyle w:val="table-text"/>
              <w:spacing w:before="30" w:after="30"/>
              <w:ind w:right="346"/>
              <w:jc w:val="right"/>
            </w:pPr>
            <w:r w:rsidRPr="00630664">
              <w:t>5.4036</w:t>
            </w:r>
          </w:p>
        </w:tc>
        <w:tc>
          <w:tcPr>
            <w:tcW w:w="1478" w:type="dxa"/>
            <w:vAlign w:val="bottom"/>
          </w:tcPr>
          <w:p w14:paraId="0E32AD3A" w14:textId="77777777" w:rsidR="00210E74" w:rsidRPr="00630664" w:rsidRDefault="00210E74" w:rsidP="005669B3">
            <w:pPr>
              <w:pStyle w:val="table-text"/>
              <w:spacing w:before="30" w:after="30"/>
              <w:ind w:right="346"/>
              <w:jc w:val="right"/>
            </w:pPr>
            <w:r w:rsidRPr="00630664">
              <w:t>8.6008</w:t>
            </w:r>
          </w:p>
        </w:tc>
        <w:tc>
          <w:tcPr>
            <w:tcW w:w="1223" w:type="dxa"/>
            <w:vAlign w:val="bottom"/>
          </w:tcPr>
          <w:p w14:paraId="492C52C0" w14:textId="77777777" w:rsidR="00210E74" w:rsidRPr="00630664" w:rsidRDefault="00210E74" w:rsidP="005669B3">
            <w:pPr>
              <w:pStyle w:val="table-text"/>
              <w:spacing w:before="30" w:after="30"/>
              <w:ind w:right="346"/>
              <w:jc w:val="right"/>
            </w:pPr>
            <w:r w:rsidRPr="00630664">
              <w:t>6.8579</w:t>
            </w:r>
          </w:p>
        </w:tc>
        <w:tc>
          <w:tcPr>
            <w:tcW w:w="1223" w:type="dxa"/>
            <w:vAlign w:val="bottom"/>
          </w:tcPr>
          <w:p w14:paraId="446F70EF" w14:textId="77777777" w:rsidR="00210E74" w:rsidRPr="00630664" w:rsidRDefault="00210E74" w:rsidP="005669B3">
            <w:pPr>
              <w:pStyle w:val="table-text"/>
              <w:spacing w:before="30" w:after="30"/>
              <w:ind w:right="346"/>
              <w:jc w:val="right"/>
            </w:pPr>
            <w:r w:rsidRPr="00630664">
              <w:t>7.8298</w:t>
            </w:r>
          </w:p>
        </w:tc>
      </w:tr>
      <w:tr w:rsidR="00210E74" w:rsidRPr="00846C44" w14:paraId="62469F0A" w14:textId="77777777" w:rsidTr="005669B3">
        <w:trPr>
          <w:cantSplit/>
        </w:trPr>
        <w:tc>
          <w:tcPr>
            <w:tcW w:w="2117" w:type="dxa"/>
            <w:hideMark/>
          </w:tcPr>
          <w:p w14:paraId="43E078B8" w14:textId="77777777" w:rsidR="00210E74" w:rsidRDefault="00210E74" w:rsidP="005669B3">
            <w:pPr>
              <w:pStyle w:val="table-text"/>
              <w:spacing w:before="30" w:after="30"/>
            </w:pPr>
            <w:r>
              <w:t>Treated for Heart Disease or Problems</w:t>
            </w:r>
          </w:p>
          <w:p w14:paraId="1583F76D" w14:textId="77777777" w:rsidR="00210E74" w:rsidRPr="00630664" w:rsidRDefault="00210E74" w:rsidP="005669B3">
            <w:pPr>
              <w:pStyle w:val="table-textindent"/>
              <w:spacing w:before="30" w:after="30"/>
            </w:pPr>
            <w:r w:rsidRPr="00630664">
              <w:t>Yes</w:t>
            </w:r>
          </w:p>
        </w:tc>
        <w:tc>
          <w:tcPr>
            <w:tcW w:w="1222" w:type="dxa"/>
            <w:vAlign w:val="bottom"/>
          </w:tcPr>
          <w:p w14:paraId="02B7CD25" w14:textId="77777777" w:rsidR="00210E74" w:rsidRPr="00630664" w:rsidRDefault="00210E74" w:rsidP="005669B3">
            <w:pPr>
              <w:pStyle w:val="table-text"/>
              <w:spacing w:before="30" w:after="30"/>
              <w:ind w:right="346"/>
              <w:jc w:val="right"/>
            </w:pPr>
            <w:r w:rsidRPr="00630664">
              <w:t>-1.4689</w:t>
            </w:r>
          </w:p>
        </w:tc>
        <w:tc>
          <w:tcPr>
            <w:tcW w:w="1161" w:type="dxa"/>
            <w:vAlign w:val="bottom"/>
          </w:tcPr>
          <w:p w14:paraId="6045AEED" w14:textId="77777777" w:rsidR="00210E74" w:rsidRPr="00630664" w:rsidRDefault="00210E74" w:rsidP="005669B3">
            <w:pPr>
              <w:pStyle w:val="table-text"/>
              <w:spacing w:before="30" w:after="30"/>
              <w:ind w:right="346"/>
              <w:jc w:val="right"/>
            </w:pPr>
            <w:r w:rsidRPr="00630664">
              <w:t>-0.9542</w:t>
            </w:r>
          </w:p>
        </w:tc>
        <w:tc>
          <w:tcPr>
            <w:tcW w:w="1080" w:type="dxa"/>
            <w:vAlign w:val="bottom"/>
          </w:tcPr>
          <w:p w14:paraId="6C549390" w14:textId="77777777" w:rsidR="00210E74" w:rsidRPr="00630664" w:rsidRDefault="00210E74" w:rsidP="005669B3">
            <w:pPr>
              <w:pStyle w:val="table-text"/>
              <w:spacing w:before="30" w:after="30"/>
              <w:ind w:right="346"/>
              <w:jc w:val="right"/>
            </w:pPr>
            <w:r w:rsidRPr="00630664">
              <w:t>-0.7777</w:t>
            </w:r>
          </w:p>
        </w:tc>
        <w:tc>
          <w:tcPr>
            <w:tcW w:w="1478" w:type="dxa"/>
            <w:vAlign w:val="bottom"/>
          </w:tcPr>
          <w:p w14:paraId="03ADE783" w14:textId="77777777" w:rsidR="00210E74" w:rsidRPr="00630664" w:rsidRDefault="00210E74" w:rsidP="005669B3">
            <w:pPr>
              <w:pStyle w:val="table-text"/>
              <w:spacing w:before="30" w:after="30"/>
              <w:ind w:right="346"/>
              <w:jc w:val="right"/>
            </w:pPr>
            <w:r w:rsidRPr="00630664">
              <w:t>-1.9343</w:t>
            </w:r>
          </w:p>
        </w:tc>
        <w:tc>
          <w:tcPr>
            <w:tcW w:w="1223" w:type="dxa"/>
            <w:vAlign w:val="bottom"/>
          </w:tcPr>
          <w:p w14:paraId="41974B28" w14:textId="77777777" w:rsidR="00210E74" w:rsidRPr="00630664" w:rsidRDefault="00210E74" w:rsidP="005669B3">
            <w:pPr>
              <w:pStyle w:val="table-text"/>
              <w:spacing w:before="30" w:after="30"/>
              <w:ind w:right="346"/>
              <w:jc w:val="right"/>
            </w:pPr>
            <w:r w:rsidRPr="00630664">
              <w:t>-1.4007</w:t>
            </w:r>
          </w:p>
        </w:tc>
        <w:tc>
          <w:tcPr>
            <w:tcW w:w="1223" w:type="dxa"/>
            <w:vAlign w:val="bottom"/>
          </w:tcPr>
          <w:p w14:paraId="642B0AB5" w14:textId="77777777" w:rsidR="00210E74" w:rsidRPr="00630664" w:rsidRDefault="00210E74" w:rsidP="005669B3">
            <w:pPr>
              <w:pStyle w:val="table-text"/>
              <w:spacing w:before="30" w:after="30"/>
              <w:ind w:right="346"/>
              <w:jc w:val="right"/>
            </w:pPr>
            <w:r w:rsidRPr="00630664">
              <w:t>-2.044</w:t>
            </w:r>
          </w:p>
        </w:tc>
      </w:tr>
      <w:tr w:rsidR="00210E74" w:rsidRPr="00846C44" w14:paraId="1A12AC3D" w14:textId="77777777" w:rsidTr="005669B3">
        <w:trPr>
          <w:cantSplit/>
        </w:trPr>
        <w:tc>
          <w:tcPr>
            <w:tcW w:w="2117" w:type="dxa"/>
            <w:tcBorders>
              <w:bottom w:val="single" w:sz="6" w:space="0" w:color="auto"/>
            </w:tcBorders>
            <w:hideMark/>
          </w:tcPr>
          <w:p w14:paraId="4A5021F1" w14:textId="77777777" w:rsidR="00210E74" w:rsidRPr="00630664" w:rsidRDefault="00210E74" w:rsidP="005669B3">
            <w:pPr>
              <w:pStyle w:val="table-textindent"/>
              <w:spacing w:before="30" w:after="30"/>
            </w:pPr>
            <w:r w:rsidRPr="00630664">
              <w:t>No</w:t>
            </w:r>
          </w:p>
        </w:tc>
        <w:tc>
          <w:tcPr>
            <w:tcW w:w="1222" w:type="dxa"/>
            <w:tcBorders>
              <w:bottom w:val="single" w:sz="6" w:space="0" w:color="auto"/>
            </w:tcBorders>
            <w:vAlign w:val="bottom"/>
          </w:tcPr>
          <w:p w14:paraId="7F32F62F" w14:textId="77777777" w:rsidR="00210E74" w:rsidRPr="00630664" w:rsidRDefault="00210E74" w:rsidP="005669B3">
            <w:pPr>
              <w:pStyle w:val="table-text"/>
              <w:spacing w:before="30" w:after="30"/>
              <w:ind w:right="346"/>
              <w:jc w:val="right"/>
            </w:pPr>
            <w:r w:rsidRPr="00630664">
              <w:t>RC</w:t>
            </w:r>
          </w:p>
        </w:tc>
        <w:tc>
          <w:tcPr>
            <w:tcW w:w="1161" w:type="dxa"/>
            <w:tcBorders>
              <w:bottom w:val="single" w:sz="6" w:space="0" w:color="auto"/>
            </w:tcBorders>
            <w:vAlign w:val="bottom"/>
          </w:tcPr>
          <w:p w14:paraId="611B6EE5" w14:textId="77777777" w:rsidR="00210E74" w:rsidRPr="00630664" w:rsidRDefault="00210E74" w:rsidP="005669B3">
            <w:pPr>
              <w:pStyle w:val="table-text"/>
              <w:spacing w:before="30" w:after="30"/>
              <w:ind w:right="346"/>
              <w:jc w:val="right"/>
            </w:pPr>
            <w:r w:rsidRPr="00630664">
              <w:t>RC</w:t>
            </w:r>
          </w:p>
        </w:tc>
        <w:tc>
          <w:tcPr>
            <w:tcW w:w="1080" w:type="dxa"/>
            <w:tcBorders>
              <w:bottom w:val="single" w:sz="6" w:space="0" w:color="auto"/>
            </w:tcBorders>
            <w:vAlign w:val="bottom"/>
          </w:tcPr>
          <w:p w14:paraId="747A30EA" w14:textId="77777777" w:rsidR="00210E74" w:rsidRPr="00630664" w:rsidRDefault="00210E74" w:rsidP="005669B3">
            <w:pPr>
              <w:pStyle w:val="table-text"/>
              <w:spacing w:before="30" w:after="30"/>
              <w:ind w:right="346"/>
              <w:jc w:val="right"/>
            </w:pPr>
            <w:r w:rsidRPr="00630664">
              <w:t>RC</w:t>
            </w:r>
          </w:p>
        </w:tc>
        <w:tc>
          <w:tcPr>
            <w:tcW w:w="1478" w:type="dxa"/>
            <w:tcBorders>
              <w:bottom w:val="single" w:sz="6" w:space="0" w:color="auto"/>
            </w:tcBorders>
            <w:vAlign w:val="bottom"/>
          </w:tcPr>
          <w:p w14:paraId="0EB3662A" w14:textId="77777777" w:rsidR="00210E74" w:rsidRPr="00630664" w:rsidRDefault="00210E74" w:rsidP="005669B3">
            <w:pPr>
              <w:pStyle w:val="table-text"/>
              <w:spacing w:before="30" w:after="30"/>
              <w:ind w:right="346"/>
              <w:jc w:val="right"/>
            </w:pPr>
            <w:r w:rsidRPr="00630664">
              <w:t>RC</w:t>
            </w:r>
          </w:p>
        </w:tc>
        <w:tc>
          <w:tcPr>
            <w:tcW w:w="1223" w:type="dxa"/>
            <w:tcBorders>
              <w:bottom w:val="single" w:sz="6" w:space="0" w:color="auto"/>
            </w:tcBorders>
            <w:vAlign w:val="bottom"/>
          </w:tcPr>
          <w:p w14:paraId="13631521" w14:textId="77777777" w:rsidR="00210E74" w:rsidRPr="00630664" w:rsidRDefault="00210E74" w:rsidP="005669B3">
            <w:pPr>
              <w:pStyle w:val="table-text"/>
              <w:spacing w:before="30" w:after="30"/>
              <w:ind w:right="346"/>
              <w:jc w:val="right"/>
            </w:pPr>
            <w:r w:rsidRPr="00630664">
              <w:t>RC</w:t>
            </w:r>
          </w:p>
        </w:tc>
        <w:tc>
          <w:tcPr>
            <w:tcW w:w="1223" w:type="dxa"/>
            <w:tcBorders>
              <w:bottom w:val="single" w:sz="6" w:space="0" w:color="auto"/>
            </w:tcBorders>
            <w:vAlign w:val="bottom"/>
          </w:tcPr>
          <w:p w14:paraId="5B2E4B7C" w14:textId="77777777" w:rsidR="00210E74" w:rsidRPr="00630664" w:rsidRDefault="00210E74" w:rsidP="005669B3">
            <w:pPr>
              <w:pStyle w:val="table-text"/>
              <w:spacing w:before="30" w:after="30"/>
              <w:ind w:right="346"/>
              <w:jc w:val="right"/>
            </w:pPr>
            <w:r w:rsidRPr="00630664">
              <w:t>RC</w:t>
            </w:r>
          </w:p>
        </w:tc>
      </w:tr>
    </w:tbl>
    <w:p w14:paraId="596671FB" w14:textId="77777777" w:rsidR="00210E74" w:rsidRDefault="00210E74" w:rsidP="00210E74">
      <w:pPr>
        <w:pStyle w:val="table-continued"/>
      </w:pPr>
      <w:r>
        <w:t>(continued)</w:t>
      </w:r>
    </w:p>
    <w:p w14:paraId="4A2F9182" w14:textId="77777777" w:rsidR="00210E74" w:rsidRDefault="00210E74" w:rsidP="00210E74">
      <w:pPr>
        <w:pStyle w:val="table-titlecontinued"/>
      </w:pPr>
      <w:r>
        <w:lastRenderedPageBreak/>
        <w:t>Table 1.</w:t>
      </w:r>
      <w:r>
        <w:tab/>
        <w:t>ICH CAHPS Patient-Mix Adjustment Factors of Linear Means (Average for the Two 2016 ICH CAHPS Semiannual Surveys)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210E74" w:rsidRPr="007B4AA9" w14:paraId="6EB96FCE" w14:textId="77777777" w:rsidTr="005669B3">
        <w:trPr>
          <w:cantSplit/>
          <w:tblHeader/>
        </w:trPr>
        <w:tc>
          <w:tcPr>
            <w:tcW w:w="2117" w:type="dxa"/>
            <w:tcBorders>
              <w:top w:val="single" w:sz="12" w:space="0" w:color="auto"/>
            </w:tcBorders>
            <w:noWrap/>
            <w:vAlign w:val="bottom"/>
            <w:hideMark/>
          </w:tcPr>
          <w:p w14:paraId="1DEE1493" w14:textId="77777777" w:rsidR="00210E74" w:rsidRPr="007B4AA9" w:rsidRDefault="00210E74" w:rsidP="005669B3">
            <w:pPr>
              <w:pStyle w:val="table-headers"/>
              <w:tabs>
                <w:tab w:val="left" w:pos="216"/>
              </w:tabs>
              <w:spacing w:before="25" w:after="30"/>
              <w:jc w:val="left"/>
            </w:pPr>
            <w:r w:rsidRPr="007B4AA9">
              <w:t>Patient Mix Characteristic</w:t>
            </w:r>
            <w:r w:rsidRPr="007B4AA9">
              <w:br/>
            </w:r>
            <w:r w:rsidRPr="007B4AA9">
              <w:tab/>
              <w:t>Patient Mix Level</w:t>
            </w:r>
          </w:p>
        </w:tc>
        <w:tc>
          <w:tcPr>
            <w:tcW w:w="1222" w:type="dxa"/>
            <w:tcBorders>
              <w:top w:val="single" w:sz="12" w:space="0" w:color="auto"/>
            </w:tcBorders>
            <w:vAlign w:val="bottom"/>
            <w:hideMark/>
          </w:tcPr>
          <w:p w14:paraId="519817E7" w14:textId="77777777" w:rsidR="00210E74" w:rsidRPr="007B4AA9" w:rsidRDefault="00210E74" w:rsidP="005669B3">
            <w:pPr>
              <w:pStyle w:val="table-headers"/>
              <w:spacing w:before="25" w:after="30"/>
            </w:pPr>
            <w:r w:rsidRPr="007B4AA9">
              <w:t>Rating of Kidney Doctors (Q8)</w:t>
            </w:r>
          </w:p>
        </w:tc>
        <w:tc>
          <w:tcPr>
            <w:tcW w:w="1161" w:type="dxa"/>
            <w:tcBorders>
              <w:top w:val="single" w:sz="12" w:space="0" w:color="auto"/>
            </w:tcBorders>
            <w:vAlign w:val="bottom"/>
            <w:hideMark/>
          </w:tcPr>
          <w:p w14:paraId="52D9E437" w14:textId="77777777" w:rsidR="00210E74" w:rsidRPr="007B4AA9" w:rsidRDefault="00210E74" w:rsidP="005669B3">
            <w:pPr>
              <w:pStyle w:val="table-headers"/>
              <w:spacing w:before="25" w:after="30"/>
            </w:pPr>
            <w:r w:rsidRPr="007B4AA9">
              <w:t>Rating of Dialysis Center Staff (Q32)</w:t>
            </w:r>
          </w:p>
        </w:tc>
        <w:tc>
          <w:tcPr>
            <w:tcW w:w="1080" w:type="dxa"/>
            <w:tcBorders>
              <w:top w:val="single" w:sz="12" w:space="0" w:color="auto"/>
            </w:tcBorders>
            <w:vAlign w:val="bottom"/>
            <w:hideMark/>
          </w:tcPr>
          <w:p w14:paraId="0C14F005" w14:textId="77777777" w:rsidR="00210E74" w:rsidRPr="007B4AA9" w:rsidRDefault="00210E74" w:rsidP="005669B3">
            <w:pPr>
              <w:pStyle w:val="table-headers"/>
              <w:spacing w:before="25" w:after="30"/>
            </w:pPr>
            <w:r w:rsidRPr="007B4AA9">
              <w:t>Rating of Dialysis Center (Q35)</w:t>
            </w:r>
          </w:p>
        </w:tc>
        <w:tc>
          <w:tcPr>
            <w:tcW w:w="1478" w:type="dxa"/>
            <w:tcBorders>
              <w:top w:val="single" w:sz="12" w:space="0" w:color="auto"/>
            </w:tcBorders>
            <w:vAlign w:val="bottom"/>
            <w:hideMark/>
          </w:tcPr>
          <w:p w14:paraId="1A48A1B9" w14:textId="77777777" w:rsidR="00210E74" w:rsidRPr="007B4AA9" w:rsidRDefault="00210E74" w:rsidP="005669B3">
            <w:pPr>
              <w:pStyle w:val="table-headers"/>
              <w:spacing w:before="25" w:after="30"/>
            </w:pPr>
            <w:r w:rsidRPr="007B4AA9">
              <w:t>Average of survey items comprising the Kidney Doctors Communication and Caring Composite</w:t>
            </w:r>
          </w:p>
        </w:tc>
        <w:tc>
          <w:tcPr>
            <w:tcW w:w="1223" w:type="dxa"/>
            <w:tcBorders>
              <w:top w:val="single" w:sz="12" w:space="0" w:color="auto"/>
            </w:tcBorders>
            <w:vAlign w:val="bottom"/>
            <w:hideMark/>
          </w:tcPr>
          <w:p w14:paraId="6F70E8A2" w14:textId="77777777" w:rsidR="00210E74" w:rsidRPr="007B4AA9" w:rsidRDefault="00210E74" w:rsidP="005669B3">
            <w:pPr>
              <w:pStyle w:val="table-headers"/>
              <w:spacing w:before="25" w:after="30"/>
            </w:pPr>
            <w:r w:rsidRPr="007B4AA9">
              <w:t>Average of survey items comprising the Quality of Dialysis Center and Operations Composite</w:t>
            </w:r>
          </w:p>
        </w:tc>
        <w:tc>
          <w:tcPr>
            <w:tcW w:w="1223" w:type="dxa"/>
            <w:tcBorders>
              <w:top w:val="single" w:sz="12" w:space="0" w:color="auto"/>
            </w:tcBorders>
            <w:vAlign w:val="bottom"/>
            <w:hideMark/>
          </w:tcPr>
          <w:p w14:paraId="5999720E" w14:textId="77777777" w:rsidR="00210E74" w:rsidRPr="007B4AA9" w:rsidRDefault="00210E74" w:rsidP="005669B3">
            <w:pPr>
              <w:pStyle w:val="table-headers"/>
              <w:spacing w:before="25" w:after="30"/>
            </w:pPr>
            <w:r w:rsidRPr="007B4AA9">
              <w:t>Average of survey items comprising the Providing Information to Patients Composite</w:t>
            </w:r>
          </w:p>
        </w:tc>
      </w:tr>
      <w:tr w:rsidR="00210E74" w:rsidRPr="00846C44" w14:paraId="253ECDCB" w14:textId="77777777" w:rsidTr="005669B3">
        <w:trPr>
          <w:cantSplit/>
        </w:trPr>
        <w:tc>
          <w:tcPr>
            <w:tcW w:w="2117" w:type="dxa"/>
            <w:hideMark/>
          </w:tcPr>
          <w:p w14:paraId="5B03212E" w14:textId="77777777" w:rsidR="00210E74" w:rsidRDefault="00210E74" w:rsidP="005669B3">
            <w:pPr>
              <w:pStyle w:val="table-text"/>
              <w:spacing w:before="25" w:after="30"/>
            </w:pPr>
            <w:r>
              <w:t>Deaf or Difficulty Hearing</w:t>
            </w:r>
          </w:p>
          <w:p w14:paraId="221CB88E" w14:textId="77777777" w:rsidR="00210E74" w:rsidRPr="00630664" w:rsidRDefault="00210E74" w:rsidP="005669B3">
            <w:pPr>
              <w:pStyle w:val="table-textindent"/>
              <w:spacing w:before="25" w:after="30"/>
            </w:pPr>
            <w:r w:rsidRPr="00630664">
              <w:t>Yes</w:t>
            </w:r>
          </w:p>
        </w:tc>
        <w:tc>
          <w:tcPr>
            <w:tcW w:w="1222" w:type="dxa"/>
            <w:vAlign w:val="bottom"/>
          </w:tcPr>
          <w:p w14:paraId="42E0E711" w14:textId="77777777" w:rsidR="00210E74" w:rsidRPr="00630664" w:rsidRDefault="00210E74" w:rsidP="005669B3">
            <w:pPr>
              <w:pStyle w:val="table-text"/>
              <w:spacing w:before="25" w:after="30"/>
              <w:ind w:right="346"/>
              <w:jc w:val="right"/>
            </w:pPr>
            <w:r w:rsidRPr="00630664">
              <w:t>0.6308</w:t>
            </w:r>
          </w:p>
        </w:tc>
        <w:tc>
          <w:tcPr>
            <w:tcW w:w="1161" w:type="dxa"/>
            <w:vAlign w:val="bottom"/>
          </w:tcPr>
          <w:p w14:paraId="490D5BF4" w14:textId="77777777" w:rsidR="00210E74" w:rsidRPr="00630664" w:rsidRDefault="00210E74" w:rsidP="005669B3">
            <w:pPr>
              <w:pStyle w:val="table-text"/>
              <w:spacing w:before="25" w:after="30"/>
              <w:ind w:right="346"/>
              <w:jc w:val="right"/>
            </w:pPr>
            <w:r w:rsidRPr="00630664">
              <w:t>0.19</w:t>
            </w:r>
          </w:p>
        </w:tc>
        <w:tc>
          <w:tcPr>
            <w:tcW w:w="1080" w:type="dxa"/>
            <w:vAlign w:val="bottom"/>
          </w:tcPr>
          <w:p w14:paraId="208D853F" w14:textId="77777777" w:rsidR="00210E74" w:rsidRPr="00630664" w:rsidRDefault="00210E74" w:rsidP="005669B3">
            <w:pPr>
              <w:pStyle w:val="table-text"/>
              <w:spacing w:before="25" w:after="30"/>
              <w:ind w:right="346"/>
              <w:jc w:val="right"/>
            </w:pPr>
            <w:r w:rsidRPr="00630664">
              <w:t>-0.1244</w:t>
            </w:r>
          </w:p>
        </w:tc>
        <w:tc>
          <w:tcPr>
            <w:tcW w:w="1478" w:type="dxa"/>
            <w:vAlign w:val="bottom"/>
          </w:tcPr>
          <w:p w14:paraId="703D810C" w14:textId="77777777" w:rsidR="00210E74" w:rsidRPr="00630664" w:rsidRDefault="00210E74" w:rsidP="005669B3">
            <w:pPr>
              <w:pStyle w:val="table-text"/>
              <w:spacing w:before="25" w:after="30"/>
              <w:ind w:right="346"/>
              <w:jc w:val="right"/>
            </w:pPr>
            <w:r w:rsidRPr="00630664">
              <w:t>1.1164</w:t>
            </w:r>
          </w:p>
        </w:tc>
        <w:tc>
          <w:tcPr>
            <w:tcW w:w="1223" w:type="dxa"/>
            <w:vAlign w:val="bottom"/>
          </w:tcPr>
          <w:p w14:paraId="028CAE49" w14:textId="77777777" w:rsidR="00210E74" w:rsidRPr="00630664" w:rsidRDefault="00210E74" w:rsidP="005669B3">
            <w:pPr>
              <w:pStyle w:val="table-text"/>
              <w:spacing w:before="25" w:after="30"/>
              <w:ind w:right="346"/>
              <w:jc w:val="right"/>
            </w:pPr>
            <w:r w:rsidRPr="00630664">
              <w:t>0.4423</w:t>
            </w:r>
          </w:p>
        </w:tc>
        <w:tc>
          <w:tcPr>
            <w:tcW w:w="1223" w:type="dxa"/>
            <w:vAlign w:val="bottom"/>
          </w:tcPr>
          <w:p w14:paraId="6A06E2FC" w14:textId="77777777" w:rsidR="00210E74" w:rsidRPr="00630664" w:rsidRDefault="00210E74" w:rsidP="005669B3">
            <w:pPr>
              <w:pStyle w:val="table-text"/>
              <w:spacing w:before="25" w:after="30"/>
              <w:ind w:right="346"/>
              <w:jc w:val="right"/>
            </w:pPr>
            <w:r w:rsidRPr="00630664">
              <w:t>1.5508</w:t>
            </w:r>
          </w:p>
        </w:tc>
      </w:tr>
      <w:tr w:rsidR="00210E74" w:rsidRPr="00846C44" w14:paraId="4E42D12F" w14:textId="77777777" w:rsidTr="005669B3">
        <w:trPr>
          <w:cantSplit/>
        </w:trPr>
        <w:tc>
          <w:tcPr>
            <w:tcW w:w="2117" w:type="dxa"/>
            <w:tcBorders>
              <w:bottom w:val="single" w:sz="6" w:space="0" w:color="auto"/>
            </w:tcBorders>
            <w:hideMark/>
          </w:tcPr>
          <w:p w14:paraId="7569B2F8" w14:textId="77777777" w:rsidR="00210E74" w:rsidRPr="00630664" w:rsidRDefault="00210E74" w:rsidP="005669B3">
            <w:pPr>
              <w:pStyle w:val="table-textindent"/>
              <w:spacing w:before="25" w:after="30"/>
            </w:pPr>
            <w:r w:rsidRPr="00630664">
              <w:t>No</w:t>
            </w:r>
          </w:p>
        </w:tc>
        <w:tc>
          <w:tcPr>
            <w:tcW w:w="1222" w:type="dxa"/>
            <w:tcBorders>
              <w:bottom w:val="single" w:sz="6" w:space="0" w:color="auto"/>
            </w:tcBorders>
            <w:vAlign w:val="bottom"/>
          </w:tcPr>
          <w:p w14:paraId="7303C635" w14:textId="77777777" w:rsidR="00210E74" w:rsidRPr="00630664" w:rsidRDefault="00210E74" w:rsidP="005669B3">
            <w:pPr>
              <w:pStyle w:val="table-text"/>
              <w:spacing w:before="25" w:after="30"/>
              <w:ind w:right="346"/>
              <w:jc w:val="right"/>
            </w:pPr>
            <w:r w:rsidRPr="00630664">
              <w:t>RC</w:t>
            </w:r>
          </w:p>
        </w:tc>
        <w:tc>
          <w:tcPr>
            <w:tcW w:w="1161" w:type="dxa"/>
            <w:tcBorders>
              <w:bottom w:val="single" w:sz="6" w:space="0" w:color="auto"/>
            </w:tcBorders>
            <w:vAlign w:val="bottom"/>
          </w:tcPr>
          <w:p w14:paraId="72D7D1AB" w14:textId="77777777" w:rsidR="00210E74" w:rsidRPr="00630664" w:rsidRDefault="00210E74" w:rsidP="005669B3">
            <w:pPr>
              <w:pStyle w:val="table-text"/>
              <w:spacing w:before="25" w:after="30"/>
              <w:ind w:right="346"/>
              <w:jc w:val="right"/>
            </w:pPr>
            <w:r w:rsidRPr="00630664">
              <w:t>RC</w:t>
            </w:r>
          </w:p>
        </w:tc>
        <w:tc>
          <w:tcPr>
            <w:tcW w:w="1080" w:type="dxa"/>
            <w:tcBorders>
              <w:bottom w:val="single" w:sz="6" w:space="0" w:color="auto"/>
            </w:tcBorders>
            <w:vAlign w:val="bottom"/>
          </w:tcPr>
          <w:p w14:paraId="5C93750C" w14:textId="77777777" w:rsidR="00210E74" w:rsidRPr="00630664" w:rsidRDefault="00210E74" w:rsidP="005669B3">
            <w:pPr>
              <w:pStyle w:val="table-text"/>
              <w:spacing w:before="25" w:after="30"/>
              <w:ind w:right="346"/>
              <w:jc w:val="right"/>
            </w:pPr>
            <w:r w:rsidRPr="00630664">
              <w:t>RC</w:t>
            </w:r>
          </w:p>
        </w:tc>
        <w:tc>
          <w:tcPr>
            <w:tcW w:w="1478" w:type="dxa"/>
            <w:tcBorders>
              <w:bottom w:val="single" w:sz="6" w:space="0" w:color="auto"/>
            </w:tcBorders>
            <w:vAlign w:val="bottom"/>
          </w:tcPr>
          <w:p w14:paraId="1FFE24CE" w14:textId="77777777" w:rsidR="00210E74" w:rsidRPr="00630664" w:rsidRDefault="00210E74" w:rsidP="005669B3">
            <w:pPr>
              <w:pStyle w:val="table-text"/>
              <w:spacing w:before="25" w:after="30"/>
              <w:ind w:right="346"/>
              <w:jc w:val="right"/>
            </w:pPr>
            <w:r w:rsidRPr="00630664">
              <w:t>RC</w:t>
            </w:r>
          </w:p>
        </w:tc>
        <w:tc>
          <w:tcPr>
            <w:tcW w:w="1223" w:type="dxa"/>
            <w:tcBorders>
              <w:bottom w:val="single" w:sz="6" w:space="0" w:color="auto"/>
            </w:tcBorders>
            <w:vAlign w:val="bottom"/>
          </w:tcPr>
          <w:p w14:paraId="73D6A556" w14:textId="77777777" w:rsidR="00210E74" w:rsidRPr="00630664" w:rsidRDefault="00210E74" w:rsidP="005669B3">
            <w:pPr>
              <w:pStyle w:val="table-text"/>
              <w:spacing w:before="25" w:after="30"/>
              <w:ind w:right="346"/>
              <w:jc w:val="right"/>
            </w:pPr>
            <w:r w:rsidRPr="00630664">
              <w:t>RC</w:t>
            </w:r>
          </w:p>
        </w:tc>
        <w:tc>
          <w:tcPr>
            <w:tcW w:w="1223" w:type="dxa"/>
            <w:tcBorders>
              <w:bottom w:val="single" w:sz="6" w:space="0" w:color="auto"/>
            </w:tcBorders>
            <w:vAlign w:val="bottom"/>
          </w:tcPr>
          <w:p w14:paraId="0C91BE6B" w14:textId="77777777" w:rsidR="00210E74" w:rsidRPr="00630664" w:rsidRDefault="00210E74" w:rsidP="005669B3">
            <w:pPr>
              <w:pStyle w:val="table-text"/>
              <w:spacing w:before="25" w:after="30"/>
              <w:ind w:right="346"/>
              <w:jc w:val="right"/>
            </w:pPr>
            <w:r w:rsidRPr="00630664">
              <w:t>RC</w:t>
            </w:r>
          </w:p>
        </w:tc>
      </w:tr>
      <w:tr w:rsidR="00210E74" w:rsidRPr="00846C44" w14:paraId="16927AF1" w14:textId="77777777" w:rsidTr="005669B3">
        <w:trPr>
          <w:cantSplit/>
        </w:trPr>
        <w:tc>
          <w:tcPr>
            <w:tcW w:w="2117" w:type="dxa"/>
            <w:hideMark/>
          </w:tcPr>
          <w:p w14:paraId="745FC865" w14:textId="77777777" w:rsidR="00210E74" w:rsidRDefault="00210E74" w:rsidP="005669B3">
            <w:pPr>
              <w:pStyle w:val="table-text"/>
              <w:spacing w:before="25" w:after="30"/>
            </w:pPr>
            <w:r>
              <w:t>Blind or Difficulty Seeing</w:t>
            </w:r>
          </w:p>
          <w:p w14:paraId="1997C01B" w14:textId="77777777" w:rsidR="00210E74" w:rsidRPr="00630664" w:rsidRDefault="00210E74" w:rsidP="005669B3">
            <w:pPr>
              <w:pStyle w:val="table-textindent"/>
              <w:spacing w:before="25" w:after="30"/>
            </w:pPr>
            <w:r w:rsidRPr="00630664">
              <w:t>Yes</w:t>
            </w:r>
          </w:p>
        </w:tc>
        <w:tc>
          <w:tcPr>
            <w:tcW w:w="1222" w:type="dxa"/>
            <w:vAlign w:val="bottom"/>
          </w:tcPr>
          <w:p w14:paraId="6DB1978F" w14:textId="77777777" w:rsidR="00210E74" w:rsidRPr="00630664" w:rsidRDefault="00210E74" w:rsidP="005669B3">
            <w:pPr>
              <w:pStyle w:val="table-text"/>
              <w:spacing w:before="25" w:after="30"/>
              <w:ind w:right="346"/>
              <w:jc w:val="right"/>
            </w:pPr>
            <w:r w:rsidRPr="00630664">
              <w:t>0.5797</w:t>
            </w:r>
          </w:p>
        </w:tc>
        <w:tc>
          <w:tcPr>
            <w:tcW w:w="1161" w:type="dxa"/>
            <w:vAlign w:val="bottom"/>
          </w:tcPr>
          <w:p w14:paraId="51103B4A" w14:textId="77777777" w:rsidR="00210E74" w:rsidRPr="00630664" w:rsidRDefault="00210E74" w:rsidP="005669B3">
            <w:pPr>
              <w:pStyle w:val="table-text"/>
              <w:spacing w:before="25" w:after="30"/>
              <w:ind w:right="346"/>
              <w:jc w:val="right"/>
            </w:pPr>
            <w:r w:rsidRPr="00630664">
              <w:t>0.3088</w:t>
            </w:r>
          </w:p>
        </w:tc>
        <w:tc>
          <w:tcPr>
            <w:tcW w:w="1080" w:type="dxa"/>
            <w:vAlign w:val="bottom"/>
          </w:tcPr>
          <w:p w14:paraId="76BF66E9" w14:textId="77777777" w:rsidR="00210E74" w:rsidRPr="00630664" w:rsidRDefault="00210E74" w:rsidP="005669B3">
            <w:pPr>
              <w:pStyle w:val="table-text"/>
              <w:spacing w:before="25" w:after="30"/>
              <w:ind w:right="346"/>
              <w:jc w:val="right"/>
            </w:pPr>
            <w:r w:rsidRPr="00630664">
              <w:t>-0.1487</w:t>
            </w:r>
          </w:p>
        </w:tc>
        <w:tc>
          <w:tcPr>
            <w:tcW w:w="1478" w:type="dxa"/>
            <w:vAlign w:val="bottom"/>
          </w:tcPr>
          <w:p w14:paraId="27DC0177" w14:textId="77777777" w:rsidR="00210E74" w:rsidRPr="00630664" w:rsidRDefault="00210E74" w:rsidP="005669B3">
            <w:pPr>
              <w:pStyle w:val="table-text"/>
              <w:spacing w:before="25" w:after="30"/>
              <w:ind w:right="346"/>
              <w:jc w:val="right"/>
            </w:pPr>
            <w:r w:rsidRPr="00630664">
              <w:t>1.1109</w:t>
            </w:r>
          </w:p>
        </w:tc>
        <w:tc>
          <w:tcPr>
            <w:tcW w:w="1223" w:type="dxa"/>
            <w:vAlign w:val="bottom"/>
          </w:tcPr>
          <w:p w14:paraId="3E30FFC8" w14:textId="77777777" w:rsidR="00210E74" w:rsidRPr="00630664" w:rsidRDefault="00210E74" w:rsidP="005669B3">
            <w:pPr>
              <w:pStyle w:val="table-text"/>
              <w:spacing w:before="25" w:after="30"/>
              <w:ind w:right="346"/>
              <w:jc w:val="right"/>
            </w:pPr>
            <w:r w:rsidRPr="00630664">
              <w:t>0.7968</w:t>
            </w:r>
          </w:p>
        </w:tc>
        <w:tc>
          <w:tcPr>
            <w:tcW w:w="1223" w:type="dxa"/>
            <w:vAlign w:val="bottom"/>
          </w:tcPr>
          <w:p w14:paraId="78D1756B" w14:textId="77777777" w:rsidR="00210E74" w:rsidRPr="00630664" w:rsidRDefault="00210E74" w:rsidP="005669B3">
            <w:pPr>
              <w:pStyle w:val="table-text"/>
              <w:spacing w:before="25" w:after="30"/>
              <w:ind w:right="346"/>
              <w:jc w:val="right"/>
            </w:pPr>
            <w:r w:rsidRPr="00630664">
              <w:t>1.376</w:t>
            </w:r>
          </w:p>
        </w:tc>
      </w:tr>
      <w:tr w:rsidR="00210E74" w:rsidRPr="00846C44" w14:paraId="2410FC36" w14:textId="77777777" w:rsidTr="005669B3">
        <w:trPr>
          <w:cantSplit/>
        </w:trPr>
        <w:tc>
          <w:tcPr>
            <w:tcW w:w="2117" w:type="dxa"/>
            <w:hideMark/>
          </w:tcPr>
          <w:p w14:paraId="0C8326C7" w14:textId="77777777" w:rsidR="00210E74" w:rsidRPr="00630664" w:rsidRDefault="00210E74" w:rsidP="005669B3">
            <w:pPr>
              <w:pStyle w:val="table-textindent"/>
              <w:spacing w:before="25" w:after="30"/>
            </w:pPr>
            <w:r w:rsidRPr="00630664">
              <w:t>No</w:t>
            </w:r>
          </w:p>
        </w:tc>
        <w:tc>
          <w:tcPr>
            <w:tcW w:w="1222" w:type="dxa"/>
            <w:vAlign w:val="bottom"/>
          </w:tcPr>
          <w:p w14:paraId="1E734EC0" w14:textId="77777777" w:rsidR="00210E74" w:rsidRPr="00630664" w:rsidRDefault="00210E74" w:rsidP="005669B3">
            <w:pPr>
              <w:pStyle w:val="table-text"/>
              <w:spacing w:before="25" w:after="30"/>
              <w:ind w:right="346"/>
              <w:jc w:val="right"/>
            </w:pPr>
            <w:r w:rsidRPr="00630664">
              <w:t>RC</w:t>
            </w:r>
          </w:p>
        </w:tc>
        <w:tc>
          <w:tcPr>
            <w:tcW w:w="1161" w:type="dxa"/>
            <w:vAlign w:val="bottom"/>
          </w:tcPr>
          <w:p w14:paraId="48A0E6E7" w14:textId="77777777" w:rsidR="00210E74" w:rsidRPr="00630664" w:rsidRDefault="00210E74" w:rsidP="005669B3">
            <w:pPr>
              <w:pStyle w:val="table-text"/>
              <w:spacing w:before="25" w:after="30"/>
              <w:ind w:right="346"/>
              <w:jc w:val="right"/>
            </w:pPr>
            <w:r w:rsidRPr="00630664">
              <w:t>RC</w:t>
            </w:r>
          </w:p>
        </w:tc>
        <w:tc>
          <w:tcPr>
            <w:tcW w:w="1080" w:type="dxa"/>
            <w:vAlign w:val="bottom"/>
          </w:tcPr>
          <w:p w14:paraId="5FC70CE0" w14:textId="77777777" w:rsidR="00210E74" w:rsidRPr="00630664" w:rsidRDefault="00210E74" w:rsidP="005669B3">
            <w:pPr>
              <w:pStyle w:val="table-text"/>
              <w:spacing w:before="25" w:after="30"/>
              <w:ind w:right="346"/>
              <w:jc w:val="right"/>
            </w:pPr>
            <w:r w:rsidRPr="00630664">
              <w:t>RC</w:t>
            </w:r>
          </w:p>
        </w:tc>
        <w:tc>
          <w:tcPr>
            <w:tcW w:w="1478" w:type="dxa"/>
            <w:vAlign w:val="bottom"/>
          </w:tcPr>
          <w:p w14:paraId="7245C8DC"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7A3797CE"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41C7ABA7" w14:textId="77777777" w:rsidR="00210E74" w:rsidRPr="00630664" w:rsidRDefault="00210E74" w:rsidP="005669B3">
            <w:pPr>
              <w:pStyle w:val="table-text"/>
              <w:spacing w:before="25" w:after="30"/>
              <w:ind w:right="346"/>
              <w:jc w:val="right"/>
            </w:pPr>
            <w:r w:rsidRPr="00630664">
              <w:t>RC</w:t>
            </w:r>
          </w:p>
        </w:tc>
      </w:tr>
      <w:tr w:rsidR="00210E74" w:rsidRPr="00846C44" w14:paraId="299CCD63" w14:textId="77777777" w:rsidTr="005669B3">
        <w:trPr>
          <w:cantSplit/>
        </w:trPr>
        <w:tc>
          <w:tcPr>
            <w:tcW w:w="2117" w:type="dxa"/>
            <w:hideMark/>
          </w:tcPr>
          <w:p w14:paraId="3AA87597" w14:textId="77777777" w:rsidR="00210E74" w:rsidRDefault="00210E74" w:rsidP="005669B3">
            <w:pPr>
              <w:pStyle w:val="table-text"/>
              <w:spacing w:before="25" w:after="30"/>
            </w:pPr>
            <w:r>
              <w:t>Difficulty Dressing or Bathing</w:t>
            </w:r>
          </w:p>
          <w:p w14:paraId="6BB3F0C1" w14:textId="77777777" w:rsidR="00210E74" w:rsidRPr="00630664" w:rsidRDefault="00210E74" w:rsidP="005669B3">
            <w:pPr>
              <w:pStyle w:val="table-textindent"/>
              <w:spacing w:before="25" w:after="30"/>
            </w:pPr>
            <w:r w:rsidRPr="00630664">
              <w:t>Yes</w:t>
            </w:r>
          </w:p>
        </w:tc>
        <w:tc>
          <w:tcPr>
            <w:tcW w:w="1222" w:type="dxa"/>
            <w:vAlign w:val="bottom"/>
          </w:tcPr>
          <w:p w14:paraId="71280037" w14:textId="77777777" w:rsidR="00210E74" w:rsidRPr="00630664" w:rsidRDefault="00210E74" w:rsidP="005669B3">
            <w:pPr>
              <w:pStyle w:val="table-text"/>
              <w:spacing w:before="25" w:after="30"/>
              <w:ind w:right="346"/>
              <w:jc w:val="right"/>
            </w:pPr>
            <w:r w:rsidRPr="00630664">
              <w:t>1.3243</w:t>
            </w:r>
          </w:p>
        </w:tc>
        <w:tc>
          <w:tcPr>
            <w:tcW w:w="1161" w:type="dxa"/>
            <w:vAlign w:val="bottom"/>
          </w:tcPr>
          <w:p w14:paraId="269D3199" w14:textId="77777777" w:rsidR="00210E74" w:rsidRPr="00630664" w:rsidRDefault="00210E74" w:rsidP="005669B3">
            <w:pPr>
              <w:pStyle w:val="table-text"/>
              <w:spacing w:before="25" w:after="30"/>
              <w:ind w:right="346"/>
              <w:jc w:val="right"/>
            </w:pPr>
            <w:r w:rsidRPr="00630664">
              <w:t>1.5612</w:t>
            </w:r>
          </w:p>
        </w:tc>
        <w:tc>
          <w:tcPr>
            <w:tcW w:w="1080" w:type="dxa"/>
            <w:vAlign w:val="bottom"/>
          </w:tcPr>
          <w:p w14:paraId="7784788B" w14:textId="77777777" w:rsidR="00210E74" w:rsidRPr="00630664" w:rsidRDefault="00210E74" w:rsidP="005669B3">
            <w:pPr>
              <w:pStyle w:val="table-text"/>
              <w:spacing w:before="25" w:after="30"/>
              <w:ind w:right="346"/>
              <w:jc w:val="right"/>
            </w:pPr>
            <w:r w:rsidRPr="00630664">
              <w:t>1.2281</w:t>
            </w:r>
          </w:p>
        </w:tc>
        <w:tc>
          <w:tcPr>
            <w:tcW w:w="1478" w:type="dxa"/>
            <w:vAlign w:val="bottom"/>
          </w:tcPr>
          <w:p w14:paraId="30117504" w14:textId="77777777" w:rsidR="00210E74" w:rsidRPr="00630664" w:rsidRDefault="00210E74" w:rsidP="005669B3">
            <w:pPr>
              <w:pStyle w:val="table-text"/>
              <w:spacing w:before="25" w:after="30"/>
              <w:ind w:right="346"/>
              <w:jc w:val="right"/>
            </w:pPr>
            <w:r w:rsidRPr="00630664">
              <w:t>2.0841</w:t>
            </w:r>
          </w:p>
        </w:tc>
        <w:tc>
          <w:tcPr>
            <w:tcW w:w="1223" w:type="dxa"/>
            <w:vAlign w:val="bottom"/>
          </w:tcPr>
          <w:p w14:paraId="28C2F27F" w14:textId="77777777" w:rsidR="00210E74" w:rsidRPr="00630664" w:rsidRDefault="00210E74" w:rsidP="005669B3">
            <w:pPr>
              <w:pStyle w:val="table-text"/>
              <w:spacing w:before="25" w:after="30"/>
              <w:ind w:right="346"/>
              <w:jc w:val="right"/>
            </w:pPr>
            <w:r w:rsidRPr="00630664">
              <w:t>2.0068</w:t>
            </w:r>
          </w:p>
        </w:tc>
        <w:tc>
          <w:tcPr>
            <w:tcW w:w="1223" w:type="dxa"/>
            <w:vAlign w:val="bottom"/>
          </w:tcPr>
          <w:p w14:paraId="59DDB605" w14:textId="77777777" w:rsidR="00210E74" w:rsidRPr="00630664" w:rsidRDefault="00210E74" w:rsidP="005669B3">
            <w:pPr>
              <w:pStyle w:val="table-text"/>
              <w:spacing w:before="25" w:after="30"/>
              <w:ind w:right="346"/>
              <w:jc w:val="right"/>
            </w:pPr>
            <w:r w:rsidRPr="00630664">
              <w:t>3.0542</w:t>
            </w:r>
          </w:p>
        </w:tc>
      </w:tr>
      <w:tr w:rsidR="00210E74" w:rsidRPr="00846C44" w14:paraId="6E3B70B9" w14:textId="77777777" w:rsidTr="005669B3">
        <w:trPr>
          <w:cantSplit/>
        </w:trPr>
        <w:tc>
          <w:tcPr>
            <w:tcW w:w="2117" w:type="dxa"/>
            <w:hideMark/>
          </w:tcPr>
          <w:p w14:paraId="7F801432" w14:textId="77777777" w:rsidR="00210E74" w:rsidRPr="00630664" w:rsidRDefault="00210E74" w:rsidP="005669B3">
            <w:pPr>
              <w:pStyle w:val="table-textindent"/>
              <w:spacing w:before="25" w:after="30"/>
            </w:pPr>
            <w:r w:rsidRPr="00630664">
              <w:t>No</w:t>
            </w:r>
          </w:p>
        </w:tc>
        <w:tc>
          <w:tcPr>
            <w:tcW w:w="1222" w:type="dxa"/>
            <w:vAlign w:val="bottom"/>
          </w:tcPr>
          <w:p w14:paraId="6F93BC12" w14:textId="77777777" w:rsidR="00210E74" w:rsidRPr="00630664" w:rsidRDefault="00210E74" w:rsidP="005669B3">
            <w:pPr>
              <w:pStyle w:val="table-text"/>
              <w:spacing w:before="25" w:after="30"/>
              <w:ind w:right="346"/>
              <w:jc w:val="right"/>
            </w:pPr>
            <w:r w:rsidRPr="00630664">
              <w:t>RC</w:t>
            </w:r>
          </w:p>
        </w:tc>
        <w:tc>
          <w:tcPr>
            <w:tcW w:w="1161" w:type="dxa"/>
            <w:vAlign w:val="bottom"/>
          </w:tcPr>
          <w:p w14:paraId="11A2ECC3" w14:textId="77777777" w:rsidR="00210E74" w:rsidRPr="00630664" w:rsidRDefault="00210E74" w:rsidP="005669B3">
            <w:pPr>
              <w:pStyle w:val="table-text"/>
              <w:spacing w:before="25" w:after="30"/>
              <w:ind w:right="346"/>
              <w:jc w:val="right"/>
            </w:pPr>
            <w:r w:rsidRPr="00630664">
              <w:t>RC</w:t>
            </w:r>
          </w:p>
        </w:tc>
        <w:tc>
          <w:tcPr>
            <w:tcW w:w="1080" w:type="dxa"/>
            <w:vAlign w:val="bottom"/>
          </w:tcPr>
          <w:p w14:paraId="3261AFCF" w14:textId="77777777" w:rsidR="00210E74" w:rsidRPr="00630664" w:rsidRDefault="00210E74" w:rsidP="005669B3">
            <w:pPr>
              <w:pStyle w:val="table-text"/>
              <w:spacing w:before="25" w:after="30"/>
              <w:ind w:right="346"/>
              <w:jc w:val="right"/>
            </w:pPr>
            <w:r w:rsidRPr="00630664">
              <w:t>RC</w:t>
            </w:r>
          </w:p>
        </w:tc>
        <w:tc>
          <w:tcPr>
            <w:tcW w:w="1478" w:type="dxa"/>
            <w:vAlign w:val="bottom"/>
          </w:tcPr>
          <w:p w14:paraId="68A2702A"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3AB5DE8A"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6E272175" w14:textId="77777777" w:rsidR="00210E74" w:rsidRPr="00630664" w:rsidRDefault="00210E74" w:rsidP="005669B3">
            <w:pPr>
              <w:pStyle w:val="table-text"/>
              <w:spacing w:before="25" w:after="30"/>
              <w:ind w:right="346"/>
              <w:jc w:val="right"/>
            </w:pPr>
            <w:r w:rsidRPr="00630664">
              <w:t>RC</w:t>
            </w:r>
          </w:p>
        </w:tc>
      </w:tr>
      <w:tr w:rsidR="00210E74" w:rsidRPr="00846C44" w14:paraId="6370BE93" w14:textId="77777777" w:rsidTr="005669B3">
        <w:trPr>
          <w:cantSplit/>
        </w:trPr>
        <w:tc>
          <w:tcPr>
            <w:tcW w:w="2117" w:type="dxa"/>
            <w:hideMark/>
          </w:tcPr>
          <w:p w14:paraId="796066B5" w14:textId="77777777" w:rsidR="00210E74" w:rsidRDefault="00210E74" w:rsidP="005669B3">
            <w:pPr>
              <w:pStyle w:val="table-text"/>
              <w:spacing w:before="25" w:after="30"/>
            </w:pPr>
            <w:r>
              <w:t>Age</w:t>
            </w:r>
          </w:p>
          <w:p w14:paraId="0251378D" w14:textId="77777777" w:rsidR="00210E74" w:rsidRPr="00630664" w:rsidRDefault="00210E74" w:rsidP="005669B3">
            <w:pPr>
              <w:pStyle w:val="table-textindent"/>
              <w:spacing w:before="25" w:after="30"/>
            </w:pPr>
            <w:r w:rsidRPr="00630664">
              <w:t>18–44</w:t>
            </w:r>
          </w:p>
        </w:tc>
        <w:tc>
          <w:tcPr>
            <w:tcW w:w="1222" w:type="dxa"/>
            <w:vAlign w:val="bottom"/>
          </w:tcPr>
          <w:p w14:paraId="00CCD133" w14:textId="77777777" w:rsidR="00210E74" w:rsidRPr="00630664" w:rsidRDefault="00210E74" w:rsidP="005669B3">
            <w:pPr>
              <w:pStyle w:val="table-text"/>
              <w:spacing w:before="25" w:after="30"/>
              <w:ind w:right="346"/>
              <w:jc w:val="right"/>
            </w:pPr>
            <w:r w:rsidRPr="00630664">
              <w:t>2.2637</w:t>
            </w:r>
          </w:p>
        </w:tc>
        <w:tc>
          <w:tcPr>
            <w:tcW w:w="1161" w:type="dxa"/>
            <w:vAlign w:val="bottom"/>
          </w:tcPr>
          <w:p w14:paraId="4C82551D" w14:textId="77777777" w:rsidR="00210E74" w:rsidRPr="00630664" w:rsidRDefault="00210E74" w:rsidP="005669B3">
            <w:pPr>
              <w:pStyle w:val="table-text"/>
              <w:spacing w:before="25" w:after="30"/>
              <w:ind w:right="346"/>
              <w:jc w:val="right"/>
            </w:pPr>
            <w:r w:rsidRPr="00630664">
              <w:t>2.7124</w:t>
            </w:r>
          </w:p>
        </w:tc>
        <w:tc>
          <w:tcPr>
            <w:tcW w:w="1080" w:type="dxa"/>
            <w:vAlign w:val="bottom"/>
          </w:tcPr>
          <w:p w14:paraId="3F08243A" w14:textId="77777777" w:rsidR="00210E74" w:rsidRPr="00630664" w:rsidRDefault="00210E74" w:rsidP="005669B3">
            <w:pPr>
              <w:pStyle w:val="table-text"/>
              <w:spacing w:before="25" w:after="30"/>
              <w:ind w:right="346"/>
              <w:jc w:val="right"/>
            </w:pPr>
            <w:r w:rsidRPr="00630664">
              <w:t>3.6422</w:t>
            </w:r>
          </w:p>
        </w:tc>
        <w:tc>
          <w:tcPr>
            <w:tcW w:w="1478" w:type="dxa"/>
            <w:vAlign w:val="bottom"/>
          </w:tcPr>
          <w:p w14:paraId="3662A4FB" w14:textId="77777777" w:rsidR="00210E74" w:rsidRPr="00630664" w:rsidRDefault="00210E74" w:rsidP="005669B3">
            <w:pPr>
              <w:pStyle w:val="table-text"/>
              <w:spacing w:before="25" w:after="30"/>
              <w:ind w:right="346"/>
              <w:jc w:val="right"/>
            </w:pPr>
            <w:r w:rsidRPr="00630664">
              <w:t>0.3309</w:t>
            </w:r>
          </w:p>
        </w:tc>
        <w:tc>
          <w:tcPr>
            <w:tcW w:w="1223" w:type="dxa"/>
            <w:vAlign w:val="bottom"/>
          </w:tcPr>
          <w:p w14:paraId="015FF7D8" w14:textId="77777777" w:rsidR="00210E74" w:rsidRPr="00630664" w:rsidRDefault="00210E74" w:rsidP="005669B3">
            <w:pPr>
              <w:pStyle w:val="table-text"/>
              <w:spacing w:before="25" w:after="30"/>
              <w:ind w:right="346"/>
              <w:jc w:val="right"/>
            </w:pPr>
            <w:r w:rsidRPr="00630664">
              <w:t>1.5729</w:t>
            </w:r>
          </w:p>
        </w:tc>
        <w:tc>
          <w:tcPr>
            <w:tcW w:w="1223" w:type="dxa"/>
            <w:vAlign w:val="bottom"/>
          </w:tcPr>
          <w:p w14:paraId="59B3D7F5" w14:textId="77777777" w:rsidR="00210E74" w:rsidRPr="00630664" w:rsidRDefault="00210E74" w:rsidP="005669B3">
            <w:pPr>
              <w:pStyle w:val="table-text"/>
              <w:spacing w:before="25" w:after="30"/>
              <w:ind w:right="346"/>
              <w:jc w:val="right"/>
            </w:pPr>
            <w:r w:rsidRPr="00630664">
              <w:t>-6.6307</w:t>
            </w:r>
          </w:p>
        </w:tc>
      </w:tr>
      <w:tr w:rsidR="00210E74" w:rsidRPr="00846C44" w14:paraId="1613D9F7" w14:textId="77777777" w:rsidTr="005669B3">
        <w:trPr>
          <w:cantSplit/>
        </w:trPr>
        <w:tc>
          <w:tcPr>
            <w:tcW w:w="2117" w:type="dxa"/>
            <w:hideMark/>
          </w:tcPr>
          <w:p w14:paraId="774BFA45" w14:textId="77777777" w:rsidR="00210E74" w:rsidRPr="00630664" w:rsidRDefault="00210E74" w:rsidP="005669B3">
            <w:pPr>
              <w:pStyle w:val="table-textindent"/>
              <w:spacing w:before="25" w:after="30"/>
            </w:pPr>
            <w:r w:rsidRPr="00630664">
              <w:t>45–54</w:t>
            </w:r>
          </w:p>
        </w:tc>
        <w:tc>
          <w:tcPr>
            <w:tcW w:w="1222" w:type="dxa"/>
            <w:vAlign w:val="bottom"/>
          </w:tcPr>
          <w:p w14:paraId="38CD2659" w14:textId="77777777" w:rsidR="00210E74" w:rsidRPr="00630664" w:rsidRDefault="00210E74" w:rsidP="005669B3">
            <w:pPr>
              <w:pStyle w:val="table-text"/>
              <w:spacing w:before="25" w:after="30"/>
              <w:ind w:right="346"/>
              <w:jc w:val="right"/>
            </w:pPr>
            <w:r w:rsidRPr="00630664">
              <w:t>1.5628</w:t>
            </w:r>
          </w:p>
        </w:tc>
        <w:tc>
          <w:tcPr>
            <w:tcW w:w="1161" w:type="dxa"/>
            <w:vAlign w:val="bottom"/>
          </w:tcPr>
          <w:p w14:paraId="3144F2C8" w14:textId="77777777" w:rsidR="00210E74" w:rsidRPr="00630664" w:rsidRDefault="00210E74" w:rsidP="005669B3">
            <w:pPr>
              <w:pStyle w:val="table-text"/>
              <w:spacing w:before="25" w:after="30"/>
              <w:ind w:right="346"/>
              <w:jc w:val="right"/>
            </w:pPr>
            <w:r w:rsidRPr="00630664">
              <w:t>2.9151</w:t>
            </w:r>
          </w:p>
        </w:tc>
        <w:tc>
          <w:tcPr>
            <w:tcW w:w="1080" w:type="dxa"/>
            <w:vAlign w:val="bottom"/>
          </w:tcPr>
          <w:p w14:paraId="3D22C350" w14:textId="77777777" w:rsidR="00210E74" w:rsidRPr="00630664" w:rsidRDefault="00210E74" w:rsidP="005669B3">
            <w:pPr>
              <w:pStyle w:val="table-text"/>
              <w:spacing w:before="25" w:after="30"/>
              <w:ind w:right="346"/>
              <w:jc w:val="right"/>
            </w:pPr>
            <w:r w:rsidRPr="00630664">
              <w:t>3.2427</w:t>
            </w:r>
          </w:p>
        </w:tc>
        <w:tc>
          <w:tcPr>
            <w:tcW w:w="1478" w:type="dxa"/>
            <w:vAlign w:val="bottom"/>
          </w:tcPr>
          <w:p w14:paraId="79ABBA09" w14:textId="77777777" w:rsidR="00210E74" w:rsidRPr="00630664" w:rsidRDefault="00210E74" w:rsidP="005669B3">
            <w:pPr>
              <w:pStyle w:val="table-text"/>
              <w:spacing w:before="25" w:after="30"/>
              <w:ind w:right="346"/>
              <w:jc w:val="right"/>
            </w:pPr>
            <w:r w:rsidRPr="00630664">
              <w:t>0.3063</w:t>
            </w:r>
          </w:p>
        </w:tc>
        <w:tc>
          <w:tcPr>
            <w:tcW w:w="1223" w:type="dxa"/>
            <w:vAlign w:val="bottom"/>
          </w:tcPr>
          <w:p w14:paraId="4C0CF3A3" w14:textId="77777777" w:rsidR="00210E74" w:rsidRPr="00630664" w:rsidRDefault="00210E74" w:rsidP="005669B3">
            <w:pPr>
              <w:pStyle w:val="table-text"/>
              <w:spacing w:before="25" w:after="30"/>
              <w:ind w:right="346"/>
              <w:jc w:val="right"/>
            </w:pPr>
            <w:r w:rsidRPr="00630664">
              <w:t>2.1927</w:t>
            </w:r>
          </w:p>
        </w:tc>
        <w:tc>
          <w:tcPr>
            <w:tcW w:w="1223" w:type="dxa"/>
            <w:vAlign w:val="bottom"/>
          </w:tcPr>
          <w:p w14:paraId="27EBA489" w14:textId="77777777" w:rsidR="00210E74" w:rsidRPr="00630664" w:rsidRDefault="00210E74" w:rsidP="005669B3">
            <w:pPr>
              <w:pStyle w:val="table-text"/>
              <w:spacing w:before="25" w:after="30"/>
              <w:ind w:right="346"/>
              <w:jc w:val="right"/>
            </w:pPr>
            <w:r w:rsidRPr="00630664">
              <w:t>-4.1492</w:t>
            </w:r>
          </w:p>
        </w:tc>
      </w:tr>
      <w:tr w:rsidR="00210E74" w:rsidRPr="00846C44" w14:paraId="5128A022" w14:textId="77777777" w:rsidTr="005669B3">
        <w:trPr>
          <w:cantSplit/>
        </w:trPr>
        <w:tc>
          <w:tcPr>
            <w:tcW w:w="2117" w:type="dxa"/>
            <w:hideMark/>
          </w:tcPr>
          <w:p w14:paraId="129D8311" w14:textId="77777777" w:rsidR="00210E74" w:rsidRPr="00630664" w:rsidRDefault="00210E74" w:rsidP="005669B3">
            <w:pPr>
              <w:pStyle w:val="table-textindent"/>
              <w:spacing w:before="25" w:after="30"/>
            </w:pPr>
            <w:r w:rsidRPr="00630664">
              <w:t>55–64</w:t>
            </w:r>
          </w:p>
        </w:tc>
        <w:tc>
          <w:tcPr>
            <w:tcW w:w="1222" w:type="dxa"/>
            <w:vAlign w:val="bottom"/>
          </w:tcPr>
          <w:p w14:paraId="3FB9EEB4" w14:textId="77777777" w:rsidR="00210E74" w:rsidRPr="00630664" w:rsidRDefault="00210E74" w:rsidP="005669B3">
            <w:pPr>
              <w:pStyle w:val="table-text"/>
              <w:spacing w:before="25" w:after="30"/>
              <w:ind w:right="346"/>
              <w:jc w:val="right"/>
            </w:pPr>
            <w:r w:rsidRPr="00630664">
              <w:t>0.6743</w:t>
            </w:r>
          </w:p>
        </w:tc>
        <w:tc>
          <w:tcPr>
            <w:tcW w:w="1161" w:type="dxa"/>
            <w:vAlign w:val="bottom"/>
          </w:tcPr>
          <w:p w14:paraId="5B074CD3" w14:textId="77777777" w:rsidR="00210E74" w:rsidRPr="00630664" w:rsidRDefault="00210E74" w:rsidP="005669B3">
            <w:pPr>
              <w:pStyle w:val="table-text"/>
              <w:spacing w:before="25" w:after="30"/>
              <w:ind w:right="346"/>
              <w:jc w:val="right"/>
            </w:pPr>
            <w:r w:rsidRPr="00630664">
              <w:t>1.4675</w:t>
            </w:r>
          </w:p>
        </w:tc>
        <w:tc>
          <w:tcPr>
            <w:tcW w:w="1080" w:type="dxa"/>
            <w:vAlign w:val="bottom"/>
          </w:tcPr>
          <w:p w14:paraId="421B27E6" w14:textId="77777777" w:rsidR="00210E74" w:rsidRPr="00630664" w:rsidRDefault="00210E74" w:rsidP="005669B3">
            <w:pPr>
              <w:pStyle w:val="table-text"/>
              <w:spacing w:before="25" w:after="30"/>
              <w:ind w:right="346"/>
              <w:jc w:val="right"/>
            </w:pPr>
            <w:r w:rsidRPr="00630664">
              <w:t>1.6014</w:t>
            </w:r>
          </w:p>
        </w:tc>
        <w:tc>
          <w:tcPr>
            <w:tcW w:w="1478" w:type="dxa"/>
            <w:vAlign w:val="bottom"/>
          </w:tcPr>
          <w:p w14:paraId="26D675F4" w14:textId="77777777" w:rsidR="00210E74" w:rsidRPr="00630664" w:rsidRDefault="00210E74" w:rsidP="005669B3">
            <w:pPr>
              <w:pStyle w:val="table-text"/>
              <w:spacing w:before="25" w:after="30"/>
              <w:ind w:right="346"/>
              <w:jc w:val="right"/>
            </w:pPr>
            <w:r w:rsidRPr="00630664">
              <w:t>0.0928</w:t>
            </w:r>
          </w:p>
        </w:tc>
        <w:tc>
          <w:tcPr>
            <w:tcW w:w="1223" w:type="dxa"/>
            <w:vAlign w:val="bottom"/>
          </w:tcPr>
          <w:p w14:paraId="0C77CB7D" w14:textId="77777777" w:rsidR="00210E74" w:rsidRPr="00630664" w:rsidRDefault="00210E74" w:rsidP="005669B3">
            <w:pPr>
              <w:pStyle w:val="table-text"/>
              <w:spacing w:before="25" w:after="30"/>
              <w:ind w:right="346"/>
              <w:jc w:val="right"/>
            </w:pPr>
            <w:r w:rsidRPr="00630664">
              <w:t>1.322</w:t>
            </w:r>
          </w:p>
        </w:tc>
        <w:tc>
          <w:tcPr>
            <w:tcW w:w="1223" w:type="dxa"/>
            <w:vAlign w:val="bottom"/>
          </w:tcPr>
          <w:p w14:paraId="6AC63693" w14:textId="77777777" w:rsidR="00210E74" w:rsidRPr="00630664" w:rsidRDefault="00210E74" w:rsidP="005669B3">
            <w:pPr>
              <w:pStyle w:val="table-text"/>
              <w:spacing w:before="25" w:after="30"/>
              <w:ind w:right="346"/>
              <w:jc w:val="right"/>
            </w:pPr>
            <w:r w:rsidRPr="00630664">
              <w:t>-2.3116</w:t>
            </w:r>
          </w:p>
        </w:tc>
      </w:tr>
      <w:tr w:rsidR="00210E74" w:rsidRPr="00846C44" w14:paraId="3FDA8583" w14:textId="77777777" w:rsidTr="005669B3">
        <w:trPr>
          <w:cantSplit/>
        </w:trPr>
        <w:tc>
          <w:tcPr>
            <w:tcW w:w="2117" w:type="dxa"/>
            <w:hideMark/>
          </w:tcPr>
          <w:p w14:paraId="1E942693" w14:textId="77777777" w:rsidR="00210E74" w:rsidRPr="00630664" w:rsidRDefault="00210E74" w:rsidP="005669B3">
            <w:pPr>
              <w:pStyle w:val="table-textindent"/>
              <w:spacing w:before="25" w:after="30"/>
            </w:pPr>
            <w:r w:rsidRPr="00630664">
              <w:t>65–74</w:t>
            </w:r>
          </w:p>
        </w:tc>
        <w:tc>
          <w:tcPr>
            <w:tcW w:w="1222" w:type="dxa"/>
            <w:vAlign w:val="bottom"/>
          </w:tcPr>
          <w:p w14:paraId="3498904C" w14:textId="77777777" w:rsidR="00210E74" w:rsidRPr="00630664" w:rsidRDefault="00210E74" w:rsidP="005669B3">
            <w:pPr>
              <w:pStyle w:val="table-text"/>
              <w:spacing w:before="25" w:after="30"/>
              <w:ind w:right="346"/>
              <w:jc w:val="right"/>
            </w:pPr>
            <w:r w:rsidRPr="00630664">
              <w:t>RC</w:t>
            </w:r>
          </w:p>
        </w:tc>
        <w:tc>
          <w:tcPr>
            <w:tcW w:w="1161" w:type="dxa"/>
            <w:vAlign w:val="bottom"/>
          </w:tcPr>
          <w:p w14:paraId="5BE4849B" w14:textId="77777777" w:rsidR="00210E74" w:rsidRPr="00630664" w:rsidRDefault="00210E74" w:rsidP="005669B3">
            <w:pPr>
              <w:pStyle w:val="table-text"/>
              <w:spacing w:before="25" w:after="30"/>
              <w:ind w:right="346"/>
              <w:jc w:val="right"/>
            </w:pPr>
            <w:r w:rsidRPr="00630664">
              <w:t>RC</w:t>
            </w:r>
          </w:p>
        </w:tc>
        <w:tc>
          <w:tcPr>
            <w:tcW w:w="1080" w:type="dxa"/>
            <w:vAlign w:val="bottom"/>
          </w:tcPr>
          <w:p w14:paraId="68C015B5" w14:textId="77777777" w:rsidR="00210E74" w:rsidRPr="00630664" w:rsidRDefault="00210E74" w:rsidP="005669B3">
            <w:pPr>
              <w:pStyle w:val="table-text"/>
              <w:spacing w:before="25" w:after="30"/>
              <w:ind w:right="346"/>
              <w:jc w:val="right"/>
            </w:pPr>
            <w:r w:rsidRPr="00630664">
              <w:t>RC</w:t>
            </w:r>
          </w:p>
        </w:tc>
        <w:tc>
          <w:tcPr>
            <w:tcW w:w="1478" w:type="dxa"/>
            <w:vAlign w:val="bottom"/>
          </w:tcPr>
          <w:p w14:paraId="2C0DB412"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24C1DEEC"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3C91C90B" w14:textId="77777777" w:rsidR="00210E74" w:rsidRPr="00630664" w:rsidRDefault="00210E74" w:rsidP="005669B3">
            <w:pPr>
              <w:pStyle w:val="table-text"/>
              <w:spacing w:before="25" w:after="30"/>
              <w:ind w:right="346"/>
              <w:jc w:val="right"/>
            </w:pPr>
            <w:r w:rsidRPr="00630664">
              <w:t>RC</w:t>
            </w:r>
          </w:p>
        </w:tc>
      </w:tr>
      <w:tr w:rsidR="00210E74" w:rsidRPr="00846C44" w14:paraId="626A84A7" w14:textId="77777777" w:rsidTr="005669B3">
        <w:trPr>
          <w:cantSplit/>
        </w:trPr>
        <w:tc>
          <w:tcPr>
            <w:tcW w:w="2117" w:type="dxa"/>
            <w:hideMark/>
          </w:tcPr>
          <w:p w14:paraId="3D40B640" w14:textId="77777777" w:rsidR="00210E74" w:rsidRPr="00630664" w:rsidRDefault="00210E74" w:rsidP="005669B3">
            <w:pPr>
              <w:pStyle w:val="table-textindent"/>
              <w:spacing w:before="25" w:after="30"/>
            </w:pPr>
            <w:r w:rsidRPr="00630664">
              <w:t>75+</w:t>
            </w:r>
          </w:p>
        </w:tc>
        <w:tc>
          <w:tcPr>
            <w:tcW w:w="1222" w:type="dxa"/>
            <w:vAlign w:val="bottom"/>
          </w:tcPr>
          <w:p w14:paraId="769C8FE9" w14:textId="77777777" w:rsidR="00210E74" w:rsidRPr="00630664" w:rsidRDefault="00210E74" w:rsidP="005669B3">
            <w:pPr>
              <w:pStyle w:val="table-text"/>
              <w:spacing w:before="25" w:after="30"/>
              <w:ind w:right="346"/>
              <w:jc w:val="right"/>
            </w:pPr>
            <w:r w:rsidRPr="00630664">
              <w:t>-0.6539</w:t>
            </w:r>
          </w:p>
        </w:tc>
        <w:tc>
          <w:tcPr>
            <w:tcW w:w="1161" w:type="dxa"/>
            <w:vAlign w:val="bottom"/>
          </w:tcPr>
          <w:p w14:paraId="6F49D59A" w14:textId="77777777" w:rsidR="00210E74" w:rsidRPr="00630664" w:rsidRDefault="00210E74" w:rsidP="005669B3">
            <w:pPr>
              <w:pStyle w:val="table-text"/>
              <w:spacing w:before="25" w:after="30"/>
              <w:ind w:right="346"/>
              <w:jc w:val="right"/>
            </w:pPr>
            <w:r w:rsidRPr="00630664">
              <w:t>-1.0067</w:t>
            </w:r>
          </w:p>
        </w:tc>
        <w:tc>
          <w:tcPr>
            <w:tcW w:w="1080" w:type="dxa"/>
            <w:vAlign w:val="bottom"/>
          </w:tcPr>
          <w:p w14:paraId="7E946DCD" w14:textId="77777777" w:rsidR="00210E74" w:rsidRPr="00630664" w:rsidRDefault="00210E74" w:rsidP="005669B3">
            <w:pPr>
              <w:pStyle w:val="table-text"/>
              <w:spacing w:before="25" w:after="30"/>
              <w:ind w:right="346"/>
              <w:jc w:val="right"/>
            </w:pPr>
            <w:r w:rsidRPr="00630664">
              <w:t>-1.3122</w:t>
            </w:r>
          </w:p>
        </w:tc>
        <w:tc>
          <w:tcPr>
            <w:tcW w:w="1478" w:type="dxa"/>
            <w:vAlign w:val="bottom"/>
          </w:tcPr>
          <w:p w14:paraId="1F45513A" w14:textId="77777777" w:rsidR="00210E74" w:rsidRPr="00630664" w:rsidRDefault="00210E74" w:rsidP="005669B3">
            <w:pPr>
              <w:pStyle w:val="table-text"/>
              <w:spacing w:before="25" w:after="30"/>
              <w:ind w:right="346"/>
              <w:jc w:val="right"/>
            </w:pPr>
            <w:r w:rsidRPr="00630664">
              <w:t>-0.0258</w:t>
            </w:r>
          </w:p>
        </w:tc>
        <w:tc>
          <w:tcPr>
            <w:tcW w:w="1223" w:type="dxa"/>
            <w:vAlign w:val="bottom"/>
          </w:tcPr>
          <w:p w14:paraId="4149EC5F" w14:textId="77777777" w:rsidR="00210E74" w:rsidRPr="00630664" w:rsidRDefault="00210E74" w:rsidP="005669B3">
            <w:pPr>
              <w:pStyle w:val="table-text"/>
              <w:spacing w:before="25" w:after="30"/>
              <w:ind w:right="346"/>
              <w:jc w:val="right"/>
            </w:pPr>
            <w:r w:rsidRPr="00630664">
              <w:t>-0.8847</w:t>
            </w:r>
          </w:p>
        </w:tc>
        <w:tc>
          <w:tcPr>
            <w:tcW w:w="1223" w:type="dxa"/>
            <w:vAlign w:val="bottom"/>
          </w:tcPr>
          <w:p w14:paraId="4BFDCB3B" w14:textId="77777777" w:rsidR="00210E74" w:rsidRPr="00630664" w:rsidRDefault="00210E74" w:rsidP="005669B3">
            <w:pPr>
              <w:pStyle w:val="table-text"/>
              <w:spacing w:before="25" w:after="30"/>
              <w:ind w:right="346"/>
              <w:jc w:val="right"/>
            </w:pPr>
            <w:r w:rsidRPr="00630664">
              <w:t>5.1674</w:t>
            </w:r>
          </w:p>
        </w:tc>
      </w:tr>
      <w:tr w:rsidR="00210E74" w:rsidRPr="00846C44" w14:paraId="25CBF82B" w14:textId="77777777" w:rsidTr="005669B3">
        <w:trPr>
          <w:cantSplit/>
        </w:trPr>
        <w:tc>
          <w:tcPr>
            <w:tcW w:w="2117" w:type="dxa"/>
            <w:hideMark/>
          </w:tcPr>
          <w:p w14:paraId="2B6FDBED" w14:textId="77777777" w:rsidR="00210E74" w:rsidRDefault="00210E74" w:rsidP="005669B3">
            <w:pPr>
              <w:pStyle w:val="table-text"/>
              <w:spacing w:before="25" w:after="30"/>
            </w:pPr>
            <w:r>
              <w:t>Gender</w:t>
            </w:r>
          </w:p>
          <w:p w14:paraId="7D54E417" w14:textId="77777777" w:rsidR="00210E74" w:rsidRPr="00630664" w:rsidRDefault="00210E74" w:rsidP="005669B3">
            <w:pPr>
              <w:pStyle w:val="table-textindent"/>
              <w:spacing w:before="25" w:after="30"/>
            </w:pPr>
            <w:r w:rsidRPr="00630664">
              <w:t>Male</w:t>
            </w:r>
          </w:p>
        </w:tc>
        <w:tc>
          <w:tcPr>
            <w:tcW w:w="1222" w:type="dxa"/>
            <w:vAlign w:val="bottom"/>
          </w:tcPr>
          <w:p w14:paraId="3CBF541F" w14:textId="77777777" w:rsidR="00210E74" w:rsidRPr="00630664" w:rsidRDefault="00210E74" w:rsidP="005669B3">
            <w:pPr>
              <w:pStyle w:val="table-text"/>
              <w:spacing w:before="25" w:after="30"/>
              <w:ind w:right="346"/>
              <w:jc w:val="right"/>
            </w:pPr>
            <w:r w:rsidRPr="00630664">
              <w:t>1.3695</w:t>
            </w:r>
          </w:p>
        </w:tc>
        <w:tc>
          <w:tcPr>
            <w:tcW w:w="1161" w:type="dxa"/>
            <w:vAlign w:val="bottom"/>
          </w:tcPr>
          <w:p w14:paraId="130AF637" w14:textId="77777777" w:rsidR="00210E74" w:rsidRPr="00630664" w:rsidRDefault="00210E74" w:rsidP="005669B3">
            <w:pPr>
              <w:pStyle w:val="table-text"/>
              <w:spacing w:before="25" w:after="30"/>
              <w:ind w:right="346"/>
              <w:jc w:val="right"/>
            </w:pPr>
            <w:r w:rsidRPr="00630664">
              <w:t>0.6934</w:t>
            </w:r>
          </w:p>
        </w:tc>
        <w:tc>
          <w:tcPr>
            <w:tcW w:w="1080" w:type="dxa"/>
            <w:vAlign w:val="bottom"/>
          </w:tcPr>
          <w:p w14:paraId="2694645D" w14:textId="77777777" w:rsidR="00210E74" w:rsidRPr="00630664" w:rsidRDefault="00210E74" w:rsidP="005669B3">
            <w:pPr>
              <w:pStyle w:val="table-text"/>
              <w:spacing w:before="25" w:after="30"/>
              <w:ind w:right="346"/>
              <w:jc w:val="right"/>
            </w:pPr>
            <w:r w:rsidRPr="00630664">
              <w:t>0.5898</w:t>
            </w:r>
          </w:p>
        </w:tc>
        <w:tc>
          <w:tcPr>
            <w:tcW w:w="1478" w:type="dxa"/>
            <w:vAlign w:val="bottom"/>
          </w:tcPr>
          <w:p w14:paraId="25DB0919" w14:textId="77777777" w:rsidR="00210E74" w:rsidRPr="00630664" w:rsidRDefault="00210E74" w:rsidP="005669B3">
            <w:pPr>
              <w:pStyle w:val="table-text"/>
              <w:spacing w:before="25" w:after="30"/>
              <w:ind w:right="346"/>
              <w:jc w:val="right"/>
            </w:pPr>
            <w:r w:rsidRPr="00630664">
              <w:t>0.6851</w:t>
            </w:r>
          </w:p>
        </w:tc>
        <w:tc>
          <w:tcPr>
            <w:tcW w:w="1223" w:type="dxa"/>
            <w:vAlign w:val="bottom"/>
          </w:tcPr>
          <w:p w14:paraId="5EF8B83B" w14:textId="77777777" w:rsidR="00210E74" w:rsidRPr="00630664" w:rsidRDefault="00210E74" w:rsidP="005669B3">
            <w:pPr>
              <w:pStyle w:val="table-text"/>
              <w:spacing w:before="25" w:after="30"/>
              <w:ind w:right="346"/>
              <w:jc w:val="right"/>
            </w:pPr>
            <w:r w:rsidRPr="00630664">
              <w:t>-0.4707</w:t>
            </w:r>
          </w:p>
        </w:tc>
        <w:tc>
          <w:tcPr>
            <w:tcW w:w="1223" w:type="dxa"/>
            <w:vAlign w:val="bottom"/>
          </w:tcPr>
          <w:p w14:paraId="06C09976" w14:textId="77777777" w:rsidR="00210E74" w:rsidRPr="00630664" w:rsidRDefault="00210E74" w:rsidP="005669B3">
            <w:pPr>
              <w:pStyle w:val="table-text"/>
              <w:spacing w:before="25" w:after="30"/>
              <w:ind w:right="346"/>
              <w:jc w:val="right"/>
            </w:pPr>
            <w:r w:rsidRPr="00630664">
              <w:t>-0.0065</w:t>
            </w:r>
          </w:p>
        </w:tc>
      </w:tr>
      <w:tr w:rsidR="00210E74" w:rsidRPr="00846C44" w14:paraId="7D99728B" w14:textId="77777777" w:rsidTr="005669B3">
        <w:trPr>
          <w:cantSplit/>
        </w:trPr>
        <w:tc>
          <w:tcPr>
            <w:tcW w:w="2117" w:type="dxa"/>
            <w:hideMark/>
          </w:tcPr>
          <w:p w14:paraId="1CFC5B38" w14:textId="77777777" w:rsidR="00210E74" w:rsidRPr="00630664" w:rsidRDefault="00210E74" w:rsidP="005669B3">
            <w:pPr>
              <w:pStyle w:val="table-textindent"/>
              <w:spacing w:before="25" w:after="30"/>
            </w:pPr>
            <w:r w:rsidRPr="00630664">
              <w:t>Female</w:t>
            </w:r>
          </w:p>
        </w:tc>
        <w:tc>
          <w:tcPr>
            <w:tcW w:w="1222" w:type="dxa"/>
            <w:vAlign w:val="bottom"/>
          </w:tcPr>
          <w:p w14:paraId="184445C5" w14:textId="77777777" w:rsidR="00210E74" w:rsidRPr="00630664" w:rsidRDefault="00210E74" w:rsidP="005669B3">
            <w:pPr>
              <w:pStyle w:val="table-text"/>
              <w:spacing w:before="25" w:after="30"/>
              <w:ind w:right="346"/>
              <w:jc w:val="right"/>
            </w:pPr>
            <w:r w:rsidRPr="00630664">
              <w:t>RC</w:t>
            </w:r>
          </w:p>
        </w:tc>
        <w:tc>
          <w:tcPr>
            <w:tcW w:w="1161" w:type="dxa"/>
            <w:vAlign w:val="bottom"/>
          </w:tcPr>
          <w:p w14:paraId="0E35428D" w14:textId="77777777" w:rsidR="00210E74" w:rsidRPr="00630664" w:rsidRDefault="00210E74" w:rsidP="005669B3">
            <w:pPr>
              <w:pStyle w:val="table-text"/>
              <w:spacing w:before="25" w:after="30"/>
              <w:ind w:right="346"/>
              <w:jc w:val="right"/>
            </w:pPr>
            <w:r w:rsidRPr="00630664">
              <w:t>RC</w:t>
            </w:r>
          </w:p>
        </w:tc>
        <w:tc>
          <w:tcPr>
            <w:tcW w:w="1080" w:type="dxa"/>
            <w:vAlign w:val="bottom"/>
          </w:tcPr>
          <w:p w14:paraId="2C46E69A" w14:textId="77777777" w:rsidR="00210E74" w:rsidRPr="00630664" w:rsidRDefault="00210E74" w:rsidP="005669B3">
            <w:pPr>
              <w:pStyle w:val="table-text"/>
              <w:spacing w:before="25" w:after="30"/>
              <w:ind w:right="346"/>
              <w:jc w:val="right"/>
            </w:pPr>
            <w:r w:rsidRPr="00630664">
              <w:t>RC</w:t>
            </w:r>
          </w:p>
        </w:tc>
        <w:tc>
          <w:tcPr>
            <w:tcW w:w="1478" w:type="dxa"/>
            <w:vAlign w:val="bottom"/>
          </w:tcPr>
          <w:p w14:paraId="37097172"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0051F18B"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62AC0DC7" w14:textId="77777777" w:rsidR="00210E74" w:rsidRPr="00630664" w:rsidRDefault="00210E74" w:rsidP="005669B3">
            <w:pPr>
              <w:pStyle w:val="table-text"/>
              <w:spacing w:before="25" w:after="30"/>
              <w:ind w:right="346"/>
              <w:jc w:val="right"/>
            </w:pPr>
            <w:r w:rsidRPr="00630664">
              <w:t>RC</w:t>
            </w:r>
          </w:p>
        </w:tc>
      </w:tr>
      <w:tr w:rsidR="00210E74" w:rsidRPr="00846C44" w14:paraId="187B64AB" w14:textId="77777777" w:rsidTr="005669B3">
        <w:trPr>
          <w:cantSplit/>
        </w:trPr>
        <w:tc>
          <w:tcPr>
            <w:tcW w:w="2117" w:type="dxa"/>
            <w:hideMark/>
          </w:tcPr>
          <w:p w14:paraId="02CC3244" w14:textId="77777777" w:rsidR="00210E74" w:rsidRDefault="00210E74" w:rsidP="005669B3">
            <w:pPr>
              <w:pStyle w:val="table-text"/>
              <w:spacing w:before="25" w:after="30"/>
            </w:pPr>
            <w:r>
              <w:t>Education</w:t>
            </w:r>
          </w:p>
          <w:p w14:paraId="6EB1003D" w14:textId="77777777" w:rsidR="00210E74" w:rsidRPr="00630664" w:rsidRDefault="00210E74" w:rsidP="005669B3">
            <w:pPr>
              <w:pStyle w:val="table-textindent"/>
              <w:spacing w:before="25" w:after="30"/>
            </w:pPr>
            <w:r w:rsidRPr="00630664">
              <w:t>8th Grade or Less</w:t>
            </w:r>
          </w:p>
        </w:tc>
        <w:tc>
          <w:tcPr>
            <w:tcW w:w="1222" w:type="dxa"/>
            <w:vAlign w:val="bottom"/>
          </w:tcPr>
          <w:p w14:paraId="17632471" w14:textId="77777777" w:rsidR="00210E74" w:rsidRPr="00630664" w:rsidRDefault="00210E74" w:rsidP="005669B3">
            <w:pPr>
              <w:pStyle w:val="table-text"/>
              <w:spacing w:before="25" w:after="30"/>
              <w:ind w:right="346"/>
              <w:jc w:val="right"/>
            </w:pPr>
            <w:r w:rsidRPr="00630664">
              <w:t>-1.1376</w:t>
            </w:r>
          </w:p>
        </w:tc>
        <w:tc>
          <w:tcPr>
            <w:tcW w:w="1161" w:type="dxa"/>
            <w:vAlign w:val="bottom"/>
          </w:tcPr>
          <w:p w14:paraId="5179CC68" w14:textId="77777777" w:rsidR="00210E74" w:rsidRPr="00630664" w:rsidRDefault="00210E74" w:rsidP="005669B3">
            <w:pPr>
              <w:pStyle w:val="table-text"/>
              <w:spacing w:before="25" w:after="30"/>
              <w:ind w:right="346"/>
              <w:jc w:val="right"/>
            </w:pPr>
            <w:r w:rsidRPr="00630664">
              <w:t>-1.8598</w:t>
            </w:r>
          </w:p>
        </w:tc>
        <w:tc>
          <w:tcPr>
            <w:tcW w:w="1080" w:type="dxa"/>
            <w:vAlign w:val="bottom"/>
          </w:tcPr>
          <w:p w14:paraId="48A384F4" w14:textId="77777777" w:rsidR="00210E74" w:rsidRPr="00630664" w:rsidRDefault="00210E74" w:rsidP="005669B3">
            <w:pPr>
              <w:pStyle w:val="table-text"/>
              <w:spacing w:before="25" w:after="30"/>
              <w:ind w:right="346"/>
              <w:jc w:val="right"/>
            </w:pPr>
            <w:r w:rsidRPr="00630664">
              <w:t>-2.4601</w:t>
            </w:r>
          </w:p>
        </w:tc>
        <w:tc>
          <w:tcPr>
            <w:tcW w:w="1478" w:type="dxa"/>
            <w:vAlign w:val="bottom"/>
          </w:tcPr>
          <w:p w14:paraId="44304FF2" w14:textId="77777777" w:rsidR="00210E74" w:rsidRPr="00630664" w:rsidRDefault="00210E74" w:rsidP="005669B3">
            <w:pPr>
              <w:pStyle w:val="table-text"/>
              <w:spacing w:before="25" w:after="30"/>
              <w:ind w:right="346"/>
              <w:jc w:val="right"/>
            </w:pPr>
            <w:r w:rsidRPr="00630664">
              <w:t>0.5702</w:t>
            </w:r>
          </w:p>
        </w:tc>
        <w:tc>
          <w:tcPr>
            <w:tcW w:w="1223" w:type="dxa"/>
            <w:vAlign w:val="bottom"/>
          </w:tcPr>
          <w:p w14:paraId="0C77BF73" w14:textId="77777777" w:rsidR="00210E74" w:rsidRPr="00630664" w:rsidRDefault="00210E74" w:rsidP="005669B3">
            <w:pPr>
              <w:pStyle w:val="table-text"/>
              <w:spacing w:before="25" w:after="30"/>
              <w:ind w:right="346"/>
              <w:jc w:val="right"/>
            </w:pPr>
            <w:r w:rsidRPr="00630664">
              <w:t>-0.6584</w:t>
            </w:r>
          </w:p>
        </w:tc>
        <w:tc>
          <w:tcPr>
            <w:tcW w:w="1223" w:type="dxa"/>
            <w:vAlign w:val="bottom"/>
          </w:tcPr>
          <w:p w14:paraId="68F84BA8" w14:textId="77777777" w:rsidR="00210E74" w:rsidRPr="00630664" w:rsidRDefault="00210E74" w:rsidP="005669B3">
            <w:pPr>
              <w:pStyle w:val="table-text"/>
              <w:spacing w:before="25" w:after="30"/>
              <w:ind w:right="346"/>
              <w:jc w:val="right"/>
            </w:pPr>
            <w:r w:rsidRPr="00630664">
              <w:t>1.0238</w:t>
            </w:r>
          </w:p>
        </w:tc>
      </w:tr>
      <w:tr w:rsidR="00210E74" w:rsidRPr="00846C44" w14:paraId="3410D6E0" w14:textId="77777777" w:rsidTr="005669B3">
        <w:trPr>
          <w:cantSplit/>
        </w:trPr>
        <w:tc>
          <w:tcPr>
            <w:tcW w:w="2117" w:type="dxa"/>
            <w:hideMark/>
          </w:tcPr>
          <w:p w14:paraId="50D1B888" w14:textId="77777777" w:rsidR="00210E74" w:rsidRPr="00630664" w:rsidRDefault="00210E74" w:rsidP="005669B3">
            <w:pPr>
              <w:pStyle w:val="table-textindent"/>
              <w:spacing w:before="25" w:after="30"/>
            </w:pPr>
            <w:r w:rsidRPr="00630664">
              <w:t>Some High School</w:t>
            </w:r>
          </w:p>
        </w:tc>
        <w:tc>
          <w:tcPr>
            <w:tcW w:w="1222" w:type="dxa"/>
            <w:vAlign w:val="bottom"/>
          </w:tcPr>
          <w:p w14:paraId="18A10D07" w14:textId="77777777" w:rsidR="00210E74" w:rsidRPr="00630664" w:rsidRDefault="00210E74" w:rsidP="005669B3">
            <w:pPr>
              <w:pStyle w:val="table-text"/>
              <w:spacing w:before="25" w:after="30"/>
              <w:ind w:right="346"/>
              <w:jc w:val="right"/>
            </w:pPr>
            <w:r w:rsidRPr="00630664">
              <w:t>-0.9167</w:t>
            </w:r>
          </w:p>
        </w:tc>
        <w:tc>
          <w:tcPr>
            <w:tcW w:w="1161" w:type="dxa"/>
            <w:vAlign w:val="bottom"/>
          </w:tcPr>
          <w:p w14:paraId="757D944A" w14:textId="77777777" w:rsidR="00210E74" w:rsidRPr="00630664" w:rsidRDefault="00210E74" w:rsidP="005669B3">
            <w:pPr>
              <w:pStyle w:val="table-text"/>
              <w:spacing w:before="25" w:after="30"/>
              <w:ind w:right="346"/>
              <w:jc w:val="right"/>
            </w:pPr>
            <w:r w:rsidRPr="00630664">
              <w:t>-1.4343</w:t>
            </w:r>
          </w:p>
        </w:tc>
        <w:tc>
          <w:tcPr>
            <w:tcW w:w="1080" w:type="dxa"/>
            <w:vAlign w:val="bottom"/>
          </w:tcPr>
          <w:p w14:paraId="6DAED769" w14:textId="77777777" w:rsidR="00210E74" w:rsidRPr="00630664" w:rsidRDefault="00210E74" w:rsidP="005669B3">
            <w:pPr>
              <w:pStyle w:val="table-text"/>
              <w:spacing w:before="25" w:after="30"/>
              <w:ind w:right="346"/>
              <w:jc w:val="right"/>
            </w:pPr>
            <w:r w:rsidRPr="00630664">
              <w:t>-1.6717</w:t>
            </w:r>
          </w:p>
        </w:tc>
        <w:tc>
          <w:tcPr>
            <w:tcW w:w="1478" w:type="dxa"/>
            <w:vAlign w:val="bottom"/>
          </w:tcPr>
          <w:p w14:paraId="678AD326" w14:textId="77777777" w:rsidR="00210E74" w:rsidRPr="00630664" w:rsidRDefault="00210E74" w:rsidP="005669B3">
            <w:pPr>
              <w:pStyle w:val="table-text"/>
              <w:spacing w:before="25" w:after="30"/>
              <w:ind w:right="346"/>
              <w:jc w:val="right"/>
            </w:pPr>
            <w:r w:rsidRPr="00630664">
              <w:t>0.1641</w:t>
            </w:r>
          </w:p>
        </w:tc>
        <w:tc>
          <w:tcPr>
            <w:tcW w:w="1223" w:type="dxa"/>
            <w:vAlign w:val="bottom"/>
          </w:tcPr>
          <w:p w14:paraId="53D34A52" w14:textId="77777777" w:rsidR="00210E74" w:rsidRPr="00630664" w:rsidRDefault="00210E74" w:rsidP="005669B3">
            <w:pPr>
              <w:pStyle w:val="table-text"/>
              <w:spacing w:before="25" w:after="30"/>
              <w:ind w:right="346"/>
              <w:jc w:val="right"/>
            </w:pPr>
            <w:r w:rsidRPr="00630664">
              <w:t>-0.4919</w:t>
            </w:r>
          </w:p>
        </w:tc>
        <w:tc>
          <w:tcPr>
            <w:tcW w:w="1223" w:type="dxa"/>
            <w:vAlign w:val="bottom"/>
          </w:tcPr>
          <w:p w14:paraId="6BD70CBE" w14:textId="77777777" w:rsidR="00210E74" w:rsidRPr="00630664" w:rsidRDefault="00210E74" w:rsidP="005669B3">
            <w:pPr>
              <w:pStyle w:val="table-text"/>
              <w:spacing w:before="25" w:after="30"/>
              <w:ind w:right="346"/>
              <w:jc w:val="right"/>
            </w:pPr>
            <w:r w:rsidRPr="00630664">
              <w:t>0.6761</w:t>
            </w:r>
          </w:p>
        </w:tc>
      </w:tr>
      <w:tr w:rsidR="00210E74" w:rsidRPr="00846C44" w14:paraId="6ABF3A60" w14:textId="77777777" w:rsidTr="005669B3">
        <w:trPr>
          <w:cantSplit/>
        </w:trPr>
        <w:tc>
          <w:tcPr>
            <w:tcW w:w="2117" w:type="dxa"/>
            <w:hideMark/>
          </w:tcPr>
          <w:p w14:paraId="051020FA" w14:textId="77777777" w:rsidR="00210E74" w:rsidRPr="00630664" w:rsidRDefault="00210E74" w:rsidP="005669B3">
            <w:pPr>
              <w:pStyle w:val="table-textindent"/>
              <w:spacing w:before="25" w:after="30"/>
            </w:pPr>
            <w:r w:rsidRPr="00630664">
              <w:t>High School</w:t>
            </w:r>
          </w:p>
        </w:tc>
        <w:tc>
          <w:tcPr>
            <w:tcW w:w="1222" w:type="dxa"/>
            <w:vAlign w:val="bottom"/>
          </w:tcPr>
          <w:p w14:paraId="56CDC2E1" w14:textId="77777777" w:rsidR="00210E74" w:rsidRPr="00630664" w:rsidRDefault="00210E74" w:rsidP="005669B3">
            <w:pPr>
              <w:pStyle w:val="table-text"/>
              <w:spacing w:before="25" w:after="30"/>
              <w:ind w:right="346"/>
              <w:jc w:val="right"/>
            </w:pPr>
            <w:r w:rsidRPr="00630664">
              <w:t>RC</w:t>
            </w:r>
          </w:p>
        </w:tc>
        <w:tc>
          <w:tcPr>
            <w:tcW w:w="1161" w:type="dxa"/>
            <w:vAlign w:val="bottom"/>
          </w:tcPr>
          <w:p w14:paraId="2EBA0416" w14:textId="77777777" w:rsidR="00210E74" w:rsidRPr="00630664" w:rsidRDefault="00210E74" w:rsidP="005669B3">
            <w:pPr>
              <w:pStyle w:val="table-text"/>
              <w:spacing w:before="25" w:after="30"/>
              <w:ind w:right="346"/>
              <w:jc w:val="right"/>
            </w:pPr>
            <w:r w:rsidRPr="00630664">
              <w:t>RC</w:t>
            </w:r>
          </w:p>
        </w:tc>
        <w:tc>
          <w:tcPr>
            <w:tcW w:w="1080" w:type="dxa"/>
            <w:vAlign w:val="bottom"/>
          </w:tcPr>
          <w:p w14:paraId="313B8B5F" w14:textId="77777777" w:rsidR="00210E74" w:rsidRPr="00630664" w:rsidRDefault="00210E74" w:rsidP="005669B3">
            <w:pPr>
              <w:pStyle w:val="table-text"/>
              <w:spacing w:before="25" w:after="30"/>
              <w:ind w:right="346"/>
              <w:jc w:val="right"/>
            </w:pPr>
            <w:r w:rsidRPr="00630664">
              <w:t>RC</w:t>
            </w:r>
          </w:p>
        </w:tc>
        <w:tc>
          <w:tcPr>
            <w:tcW w:w="1478" w:type="dxa"/>
            <w:vAlign w:val="bottom"/>
          </w:tcPr>
          <w:p w14:paraId="545E8B02"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4A07C137"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268C2DA1" w14:textId="77777777" w:rsidR="00210E74" w:rsidRPr="00630664" w:rsidRDefault="00210E74" w:rsidP="005669B3">
            <w:pPr>
              <w:pStyle w:val="table-text"/>
              <w:spacing w:before="25" w:after="30"/>
              <w:ind w:right="346"/>
              <w:jc w:val="right"/>
            </w:pPr>
            <w:r w:rsidRPr="00630664">
              <w:t>RC</w:t>
            </w:r>
          </w:p>
        </w:tc>
      </w:tr>
      <w:tr w:rsidR="00210E74" w:rsidRPr="00846C44" w14:paraId="720A2193" w14:textId="77777777" w:rsidTr="005669B3">
        <w:trPr>
          <w:cantSplit/>
        </w:trPr>
        <w:tc>
          <w:tcPr>
            <w:tcW w:w="2117" w:type="dxa"/>
            <w:hideMark/>
          </w:tcPr>
          <w:p w14:paraId="452F5A41" w14:textId="77777777" w:rsidR="00210E74" w:rsidRPr="00630664" w:rsidRDefault="00210E74" w:rsidP="005669B3">
            <w:pPr>
              <w:pStyle w:val="table-textindent"/>
              <w:spacing w:before="25" w:after="30"/>
            </w:pPr>
            <w:r w:rsidRPr="00630664">
              <w:t>Some College</w:t>
            </w:r>
          </w:p>
        </w:tc>
        <w:tc>
          <w:tcPr>
            <w:tcW w:w="1222" w:type="dxa"/>
            <w:vAlign w:val="bottom"/>
          </w:tcPr>
          <w:p w14:paraId="44A6403C" w14:textId="77777777" w:rsidR="00210E74" w:rsidRPr="00630664" w:rsidRDefault="00210E74" w:rsidP="005669B3">
            <w:pPr>
              <w:pStyle w:val="table-text"/>
              <w:spacing w:before="25" w:after="30"/>
              <w:ind w:right="346"/>
              <w:jc w:val="right"/>
            </w:pPr>
            <w:r w:rsidRPr="00630664">
              <w:t>1.5963</w:t>
            </w:r>
          </w:p>
        </w:tc>
        <w:tc>
          <w:tcPr>
            <w:tcW w:w="1161" w:type="dxa"/>
            <w:vAlign w:val="bottom"/>
          </w:tcPr>
          <w:p w14:paraId="38FB28B8" w14:textId="77777777" w:rsidR="00210E74" w:rsidRPr="00630664" w:rsidRDefault="00210E74" w:rsidP="005669B3">
            <w:pPr>
              <w:pStyle w:val="table-text"/>
              <w:spacing w:before="25" w:after="30"/>
              <w:ind w:right="346"/>
              <w:jc w:val="right"/>
            </w:pPr>
            <w:r w:rsidRPr="00630664">
              <w:t>2.2607</w:t>
            </w:r>
          </w:p>
        </w:tc>
        <w:tc>
          <w:tcPr>
            <w:tcW w:w="1080" w:type="dxa"/>
            <w:vAlign w:val="bottom"/>
          </w:tcPr>
          <w:p w14:paraId="1655FC67" w14:textId="77777777" w:rsidR="00210E74" w:rsidRPr="00630664" w:rsidRDefault="00210E74" w:rsidP="005669B3">
            <w:pPr>
              <w:pStyle w:val="table-text"/>
              <w:spacing w:before="25" w:after="30"/>
              <w:ind w:right="346"/>
              <w:jc w:val="right"/>
            </w:pPr>
            <w:r w:rsidRPr="00630664">
              <w:t>2.6907</w:t>
            </w:r>
          </w:p>
        </w:tc>
        <w:tc>
          <w:tcPr>
            <w:tcW w:w="1478" w:type="dxa"/>
            <w:vAlign w:val="bottom"/>
          </w:tcPr>
          <w:p w14:paraId="7BC0C1EC" w14:textId="77777777" w:rsidR="00210E74" w:rsidRPr="00630664" w:rsidRDefault="00210E74" w:rsidP="005669B3">
            <w:pPr>
              <w:pStyle w:val="table-text"/>
              <w:spacing w:before="25" w:after="30"/>
              <w:ind w:right="346"/>
              <w:jc w:val="right"/>
            </w:pPr>
            <w:r w:rsidRPr="00630664">
              <w:t>1.5679</w:t>
            </w:r>
          </w:p>
        </w:tc>
        <w:tc>
          <w:tcPr>
            <w:tcW w:w="1223" w:type="dxa"/>
            <w:vAlign w:val="bottom"/>
          </w:tcPr>
          <w:p w14:paraId="2CDC7804" w14:textId="77777777" w:rsidR="00210E74" w:rsidRPr="00630664" w:rsidRDefault="00210E74" w:rsidP="005669B3">
            <w:pPr>
              <w:pStyle w:val="table-text"/>
              <w:spacing w:before="25" w:after="30"/>
              <w:ind w:right="346"/>
              <w:jc w:val="right"/>
            </w:pPr>
            <w:r w:rsidRPr="00630664">
              <w:t>1.9833</w:t>
            </w:r>
          </w:p>
        </w:tc>
        <w:tc>
          <w:tcPr>
            <w:tcW w:w="1223" w:type="dxa"/>
            <w:vAlign w:val="bottom"/>
          </w:tcPr>
          <w:p w14:paraId="20F4FFE8" w14:textId="77777777" w:rsidR="00210E74" w:rsidRPr="00630664" w:rsidRDefault="00210E74" w:rsidP="005669B3">
            <w:pPr>
              <w:pStyle w:val="table-text"/>
              <w:spacing w:before="25" w:after="30"/>
              <w:ind w:right="346"/>
              <w:jc w:val="right"/>
            </w:pPr>
            <w:r w:rsidRPr="00630664">
              <w:t>-0.2164</w:t>
            </w:r>
          </w:p>
        </w:tc>
      </w:tr>
      <w:tr w:rsidR="00210E74" w:rsidRPr="00846C44" w14:paraId="79128BF8" w14:textId="77777777" w:rsidTr="005669B3">
        <w:trPr>
          <w:cantSplit/>
        </w:trPr>
        <w:tc>
          <w:tcPr>
            <w:tcW w:w="2117" w:type="dxa"/>
            <w:hideMark/>
          </w:tcPr>
          <w:p w14:paraId="09B6EA62" w14:textId="77777777" w:rsidR="00210E74" w:rsidRPr="00630664" w:rsidRDefault="00210E74" w:rsidP="005669B3">
            <w:pPr>
              <w:pStyle w:val="table-textindent"/>
              <w:spacing w:before="25" w:after="30"/>
            </w:pPr>
            <w:r w:rsidRPr="00630664">
              <w:t>4-year Degree</w:t>
            </w:r>
          </w:p>
        </w:tc>
        <w:tc>
          <w:tcPr>
            <w:tcW w:w="1222" w:type="dxa"/>
            <w:vAlign w:val="bottom"/>
          </w:tcPr>
          <w:p w14:paraId="494A6D52" w14:textId="77777777" w:rsidR="00210E74" w:rsidRPr="00630664" w:rsidRDefault="00210E74" w:rsidP="005669B3">
            <w:pPr>
              <w:pStyle w:val="table-text"/>
              <w:spacing w:before="25" w:after="30"/>
              <w:ind w:right="346"/>
              <w:jc w:val="right"/>
            </w:pPr>
            <w:r w:rsidRPr="00630664">
              <w:t>2.3397</w:t>
            </w:r>
          </w:p>
        </w:tc>
        <w:tc>
          <w:tcPr>
            <w:tcW w:w="1161" w:type="dxa"/>
            <w:vAlign w:val="bottom"/>
          </w:tcPr>
          <w:p w14:paraId="4750B3B6" w14:textId="77777777" w:rsidR="00210E74" w:rsidRPr="00630664" w:rsidRDefault="00210E74" w:rsidP="005669B3">
            <w:pPr>
              <w:pStyle w:val="table-text"/>
              <w:spacing w:before="25" w:after="30"/>
              <w:ind w:right="346"/>
              <w:jc w:val="right"/>
            </w:pPr>
            <w:r w:rsidRPr="00630664">
              <w:t>2.9239</w:t>
            </w:r>
          </w:p>
        </w:tc>
        <w:tc>
          <w:tcPr>
            <w:tcW w:w="1080" w:type="dxa"/>
            <w:vAlign w:val="bottom"/>
          </w:tcPr>
          <w:p w14:paraId="7E0B2D8C" w14:textId="77777777" w:rsidR="00210E74" w:rsidRPr="00630664" w:rsidRDefault="00210E74" w:rsidP="005669B3">
            <w:pPr>
              <w:pStyle w:val="table-text"/>
              <w:spacing w:before="25" w:after="30"/>
              <w:ind w:right="346"/>
              <w:jc w:val="right"/>
            </w:pPr>
            <w:r w:rsidRPr="00630664">
              <w:t>3.5403</w:t>
            </w:r>
          </w:p>
        </w:tc>
        <w:tc>
          <w:tcPr>
            <w:tcW w:w="1478" w:type="dxa"/>
            <w:vAlign w:val="bottom"/>
          </w:tcPr>
          <w:p w14:paraId="0DDF4B4C" w14:textId="77777777" w:rsidR="00210E74" w:rsidRPr="00630664" w:rsidRDefault="00210E74" w:rsidP="005669B3">
            <w:pPr>
              <w:pStyle w:val="table-text"/>
              <w:spacing w:before="25" w:after="30"/>
              <w:ind w:right="346"/>
              <w:jc w:val="right"/>
            </w:pPr>
            <w:r w:rsidRPr="00630664">
              <w:t>2.2484</w:t>
            </w:r>
          </w:p>
        </w:tc>
        <w:tc>
          <w:tcPr>
            <w:tcW w:w="1223" w:type="dxa"/>
            <w:vAlign w:val="bottom"/>
          </w:tcPr>
          <w:p w14:paraId="4A586AC4" w14:textId="77777777" w:rsidR="00210E74" w:rsidRPr="00630664" w:rsidRDefault="00210E74" w:rsidP="005669B3">
            <w:pPr>
              <w:pStyle w:val="table-text"/>
              <w:spacing w:before="25" w:after="30"/>
              <w:ind w:right="346"/>
              <w:jc w:val="right"/>
            </w:pPr>
            <w:r w:rsidRPr="00630664">
              <w:t>2.4653</w:t>
            </w:r>
          </w:p>
        </w:tc>
        <w:tc>
          <w:tcPr>
            <w:tcW w:w="1223" w:type="dxa"/>
            <w:vAlign w:val="bottom"/>
          </w:tcPr>
          <w:p w14:paraId="3D04B7F8" w14:textId="77777777" w:rsidR="00210E74" w:rsidRPr="00630664" w:rsidRDefault="00210E74" w:rsidP="005669B3">
            <w:pPr>
              <w:pStyle w:val="table-text"/>
              <w:spacing w:before="25" w:after="30"/>
              <w:ind w:right="346"/>
              <w:jc w:val="right"/>
            </w:pPr>
            <w:r w:rsidRPr="00630664">
              <w:t>1.069</w:t>
            </w:r>
          </w:p>
        </w:tc>
      </w:tr>
      <w:tr w:rsidR="00210E74" w:rsidRPr="00846C44" w14:paraId="4F01718E" w14:textId="77777777" w:rsidTr="005669B3">
        <w:trPr>
          <w:cantSplit/>
        </w:trPr>
        <w:tc>
          <w:tcPr>
            <w:tcW w:w="2117" w:type="dxa"/>
            <w:hideMark/>
          </w:tcPr>
          <w:p w14:paraId="579091FE" w14:textId="77777777" w:rsidR="00210E74" w:rsidRPr="00630664" w:rsidRDefault="00210E74" w:rsidP="005669B3">
            <w:pPr>
              <w:pStyle w:val="table-textindent"/>
              <w:spacing w:before="25" w:after="30"/>
            </w:pPr>
            <w:r w:rsidRPr="00630664">
              <w:t>More than 4-year college</w:t>
            </w:r>
          </w:p>
        </w:tc>
        <w:tc>
          <w:tcPr>
            <w:tcW w:w="1222" w:type="dxa"/>
            <w:vAlign w:val="bottom"/>
          </w:tcPr>
          <w:p w14:paraId="603DA280" w14:textId="77777777" w:rsidR="00210E74" w:rsidRPr="00630664" w:rsidRDefault="00210E74" w:rsidP="005669B3">
            <w:pPr>
              <w:pStyle w:val="table-text"/>
              <w:spacing w:before="25" w:after="30"/>
              <w:ind w:right="346"/>
              <w:jc w:val="right"/>
            </w:pPr>
            <w:r w:rsidRPr="00630664">
              <w:t>2.7102</w:t>
            </w:r>
          </w:p>
        </w:tc>
        <w:tc>
          <w:tcPr>
            <w:tcW w:w="1161" w:type="dxa"/>
            <w:vAlign w:val="bottom"/>
          </w:tcPr>
          <w:p w14:paraId="378FF18D" w14:textId="77777777" w:rsidR="00210E74" w:rsidRPr="00630664" w:rsidRDefault="00210E74" w:rsidP="005669B3">
            <w:pPr>
              <w:pStyle w:val="table-text"/>
              <w:spacing w:before="25" w:after="30"/>
              <w:ind w:right="346"/>
              <w:jc w:val="right"/>
            </w:pPr>
            <w:r w:rsidRPr="00630664">
              <w:t>3.7688</w:t>
            </w:r>
          </w:p>
        </w:tc>
        <w:tc>
          <w:tcPr>
            <w:tcW w:w="1080" w:type="dxa"/>
            <w:vAlign w:val="bottom"/>
          </w:tcPr>
          <w:p w14:paraId="28327B07" w14:textId="77777777" w:rsidR="00210E74" w:rsidRPr="00630664" w:rsidRDefault="00210E74" w:rsidP="005669B3">
            <w:pPr>
              <w:pStyle w:val="table-text"/>
              <w:spacing w:before="25" w:after="30"/>
              <w:ind w:right="346"/>
              <w:jc w:val="right"/>
            </w:pPr>
            <w:r w:rsidRPr="00630664">
              <w:t>4.3925</w:t>
            </w:r>
          </w:p>
        </w:tc>
        <w:tc>
          <w:tcPr>
            <w:tcW w:w="1478" w:type="dxa"/>
            <w:vAlign w:val="bottom"/>
          </w:tcPr>
          <w:p w14:paraId="33A675FD" w14:textId="77777777" w:rsidR="00210E74" w:rsidRPr="00630664" w:rsidRDefault="00210E74" w:rsidP="005669B3">
            <w:pPr>
              <w:pStyle w:val="table-text"/>
              <w:spacing w:before="25" w:after="30"/>
              <w:ind w:right="346"/>
              <w:jc w:val="right"/>
            </w:pPr>
            <w:r w:rsidRPr="00630664">
              <w:t>2.7442</w:t>
            </w:r>
          </w:p>
        </w:tc>
        <w:tc>
          <w:tcPr>
            <w:tcW w:w="1223" w:type="dxa"/>
            <w:vAlign w:val="bottom"/>
          </w:tcPr>
          <w:p w14:paraId="14093877" w14:textId="77777777" w:rsidR="00210E74" w:rsidRPr="00630664" w:rsidRDefault="00210E74" w:rsidP="005669B3">
            <w:pPr>
              <w:pStyle w:val="table-text"/>
              <w:spacing w:before="25" w:after="30"/>
              <w:ind w:right="346"/>
              <w:jc w:val="right"/>
            </w:pPr>
            <w:r w:rsidRPr="00630664">
              <w:t>3.1164</w:t>
            </w:r>
          </w:p>
        </w:tc>
        <w:tc>
          <w:tcPr>
            <w:tcW w:w="1223" w:type="dxa"/>
            <w:vAlign w:val="bottom"/>
          </w:tcPr>
          <w:p w14:paraId="40C7E0A2" w14:textId="77777777" w:rsidR="00210E74" w:rsidRPr="00630664" w:rsidRDefault="00210E74" w:rsidP="005669B3">
            <w:pPr>
              <w:pStyle w:val="table-text"/>
              <w:spacing w:before="25" w:after="30"/>
              <w:ind w:right="346"/>
              <w:jc w:val="right"/>
            </w:pPr>
            <w:r w:rsidRPr="00630664">
              <w:t>1.1016</w:t>
            </w:r>
          </w:p>
        </w:tc>
      </w:tr>
      <w:tr w:rsidR="00210E74" w:rsidRPr="00846C44" w14:paraId="60FB70E1" w14:textId="77777777" w:rsidTr="005669B3">
        <w:trPr>
          <w:cantSplit/>
        </w:trPr>
        <w:tc>
          <w:tcPr>
            <w:tcW w:w="2117" w:type="dxa"/>
            <w:hideMark/>
          </w:tcPr>
          <w:p w14:paraId="056E321A" w14:textId="77777777" w:rsidR="00210E74" w:rsidRDefault="00210E74" w:rsidP="005669B3">
            <w:pPr>
              <w:pStyle w:val="table-text"/>
              <w:spacing w:before="25" w:after="30"/>
            </w:pPr>
            <w:r>
              <w:t>Years on Dialysis</w:t>
            </w:r>
          </w:p>
          <w:p w14:paraId="6F84B6EE" w14:textId="77777777" w:rsidR="00210E74" w:rsidRPr="00630664" w:rsidRDefault="00210E74" w:rsidP="005669B3">
            <w:pPr>
              <w:pStyle w:val="table-textindent"/>
              <w:spacing w:before="25" w:after="30"/>
            </w:pPr>
            <w:r w:rsidRPr="00630664">
              <w:t>1 Year</w:t>
            </w:r>
          </w:p>
        </w:tc>
        <w:tc>
          <w:tcPr>
            <w:tcW w:w="1222" w:type="dxa"/>
            <w:vAlign w:val="bottom"/>
          </w:tcPr>
          <w:p w14:paraId="516ABE19" w14:textId="77777777" w:rsidR="00210E74" w:rsidRPr="00630664" w:rsidRDefault="00210E74" w:rsidP="005669B3">
            <w:pPr>
              <w:pStyle w:val="table-text"/>
              <w:spacing w:before="25" w:after="30"/>
              <w:ind w:right="346"/>
              <w:jc w:val="right"/>
            </w:pPr>
            <w:r w:rsidRPr="00630664">
              <w:t>-0.128</w:t>
            </w:r>
          </w:p>
        </w:tc>
        <w:tc>
          <w:tcPr>
            <w:tcW w:w="1161" w:type="dxa"/>
            <w:vAlign w:val="bottom"/>
          </w:tcPr>
          <w:p w14:paraId="070BA5D1" w14:textId="77777777" w:rsidR="00210E74" w:rsidRPr="00630664" w:rsidRDefault="00210E74" w:rsidP="005669B3">
            <w:pPr>
              <w:pStyle w:val="table-text"/>
              <w:spacing w:before="25" w:after="30"/>
              <w:ind w:right="346"/>
              <w:jc w:val="right"/>
            </w:pPr>
            <w:r w:rsidRPr="00630664">
              <w:t>-1.9216</w:t>
            </w:r>
          </w:p>
        </w:tc>
        <w:tc>
          <w:tcPr>
            <w:tcW w:w="1080" w:type="dxa"/>
            <w:vAlign w:val="bottom"/>
          </w:tcPr>
          <w:p w14:paraId="64E50982" w14:textId="77777777" w:rsidR="00210E74" w:rsidRPr="00630664" w:rsidRDefault="00210E74" w:rsidP="005669B3">
            <w:pPr>
              <w:pStyle w:val="table-text"/>
              <w:spacing w:before="25" w:after="30"/>
              <w:ind w:right="346"/>
              <w:jc w:val="right"/>
            </w:pPr>
            <w:r w:rsidRPr="00630664">
              <w:t>-1.9108</w:t>
            </w:r>
          </w:p>
        </w:tc>
        <w:tc>
          <w:tcPr>
            <w:tcW w:w="1478" w:type="dxa"/>
            <w:vAlign w:val="bottom"/>
          </w:tcPr>
          <w:p w14:paraId="41AA9E1D" w14:textId="77777777" w:rsidR="00210E74" w:rsidRPr="00630664" w:rsidRDefault="00210E74" w:rsidP="005669B3">
            <w:pPr>
              <w:pStyle w:val="table-text"/>
              <w:spacing w:before="25" w:after="30"/>
              <w:ind w:right="346"/>
              <w:jc w:val="right"/>
            </w:pPr>
            <w:r w:rsidRPr="00630664">
              <w:t>0.0235</w:t>
            </w:r>
          </w:p>
        </w:tc>
        <w:tc>
          <w:tcPr>
            <w:tcW w:w="1223" w:type="dxa"/>
            <w:vAlign w:val="bottom"/>
          </w:tcPr>
          <w:p w14:paraId="498088DD" w14:textId="77777777" w:rsidR="00210E74" w:rsidRPr="00630664" w:rsidRDefault="00210E74" w:rsidP="005669B3">
            <w:pPr>
              <w:pStyle w:val="table-text"/>
              <w:spacing w:before="25" w:after="30"/>
              <w:ind w:right="346"/>
              <w:jc w:val="right"/>
            </w:pPr>
            <w:r w:rsidRPr="00630664">
              <w:t>-2.4204</w:t>
            </w:r>
          </w:p>
        </w:tc>
        <w:tc>
          <w:tcPr>
            <w:tcW w:w="1223" w:type="dxa"/>
            <w:vAlign w:val="bottom"/>
          </w:tcPr>
          <w:p w14:paraId="630F6751" w14:textId="77777777" w:rsidR="00210E74" w:rsidRPr="00630664" w:rsidRDefault="00210E74" w:rsidP="005669B3">
            <w:pPr>
              <w:pStyle w:val="table-text"/>
              <w:spacing w:before="25" w:after="30"/>
              <w:ind w:right="346"/>
              <w:jc w:val="right"/>
            </w:pPr>
            <w:r w:rsidRPr="00630664">
              <w:t>1.3991</w:t>
            </w:r>
          </w:p>
        </w:tc>
      </w:tr>
      <w:tr w:rsidR="00210E74" w:rsidRPr="00846C44" w14:paraId="67C93BB3" w14:textId="77777777" w:rsidTr="005669B3">
        <w:trPr>
          <w:cantSplit/>
        </w:trPr>
        <w:tc>
          <w:tcPr>
            <w:tcW w:w="2117" w:type="dxa"/>
            <w:hideMark/>
          </w:tcPr>
          <w:p w14:paraId="29265B81" w14:textId="77777777" w:rsidR="00210E74" w:rsidRPr="00630664" w:rsidRDefault="00210E74" w:rsidP="005669B3">
            <w:pPr>
              <w:pStyle w:val="table-textindent"/>
              <w:spacing w:before="25" w:after="30"/>
            </w:pPr>
            <w:r w:rsidRPr="00630664">
              <w:t>2 Years</w:t>
            </w:r>
          </w:p>
        </w:tc>
        <w:tc>
          <w:tcPr>
            <w:tcW w:w="1222" w:type="dxa"/>
            <w:vAlign w:val="bottom"/>
          </w:tcPr>
          <w:p w14:paraId="3F912FB1" w14:textId="77777777" w:rsidR="00210E74" w:rsidRPr="00630664" w:rsidRDefault="00210E74" w:rsidP="005669B3">
            <w:pPr>
              <w:pStyle w:val="table-text"/>
              <w:spacing w:before="25" w:after="30"/>
              <w:ind w:right="346"/>
              <w:jc w:val="right"/>
            </w:pPr>
            <w:r w:rsidRPr="00630664">
              <w:t>0.0136</w:t>
            </w:r>
          </w:p>
        </w:tc>
        <w:tc>
          <w:tcPr>
            <w:tcW w:w="1161" w:type="dxa"/>
            <w:vAlign w:val="bottom"/>
          </w:tcPr>
          <w:p w14:paraId="3FDF6C3F" w14:textId="77777777" w:rsidR="00210E74" w:rsidRPr="00630664" w:rsidRDefault="00210E74" w:rsidP="005669B3">
            <w:pPr>
              <w:pStyle w:val="table-text"/>
              <w:spacing w:before="25" w:after="30"/>
              <w:ind w:right="346"/>
              <w:jc w:val="right"/>
            </w:pPr>
            <w:r w:rsidRPr="00630664">
              <w:t>-0.8275</w:t>
            </w:r>
          </w:p>
        </w:tc>
        <w:tc>
          <w:tcPr>
            <w:tcW w:w="1080" w:type="dxa"/>
            <w:vAlign w:val="bottom"/>
          </w:tcPr>
          <w:p w14:paraId="794889A5" w14:textId="77777777" w:rsidR="00210E74" w:rsidRPr="00630664" w:rsidRDefault="00210E74" w:rsidP="005669B3">
            <w:pPr>
              <w:pStyle w:val="table-text"/>
              <w:spacing w:before="25" w:after="30"/>
              <w:ind w:right="346"/>
              <w:jc w:val="right"/>
            </w:pPr>
            <w:r w:rsidRPr="00630664">
              <w:t>-0.7759</w:t>
            </w:r>
          </w:p>
        </w:tc>
        <w:tc>
          <w:tcPr>
            <w:tcW w:w="1478" w:type="dxa"/>
            <w:vAlign w:val="bottom"/>
          </w:tcPr>
          <w:p w14:paraId="6ED57A32" w14:textId="77777777" w:rsidR="00210E74" w:rsidRPr="00630664" w:rsidRDefault="00210E74" w:rsidP="005669B3">
            <w:pPr>
              <w:pStyle w:val="table-text"/>
              <w:spacing w:before="25" w:after="30"/>
              <w:ind w:right="346"/>
              <w:jc w:val="right"/>
            </w:pPr>
            <w:r w:rsidRPr="00630664">
              <w:t>-0.1075</w:t>
            </w:r>
          </w:p>
        </w:tc>
        <w:tc>
          <w:tcPr>
            <w:tcW w:w="1223" w:type="dxa"/>
            <w:vAlign w:val="bottom"/>
          </w:tcPr>
          <w:p w14:paraId="0EBDC8BA" w14:textId="77777777" w:rsidR="00210E74" w:rsidRPr="00630664" w:rsidRDefault="00210E74" w:rsidP="005669B3">
            <w:pPr>
              <w:pStyle w:val="table-text"/>
              <w:spacing w:before="25" w:after="30"/>
              <w:ind w:right="346"/>
              <w:jc w:val="right"/>
            </w:pPr>
            <w:r w:rsidRPr="00630664">
              <w:t>-1.042</w:t>
            </w:r>
          </w:p>
        </w:tc>
        <w:tc>
          <w:tcPr>
            <w:tcW w:w="1223" w:type="dxa"/>
            <w:vAlign w:val="bottom"/>
          </w:tcPr>
          <w:p w14:paraId="21CA4517" w14:textId="77777777" w:rsidR="00210E74" w:rsidRPr="00630664" w:rsidRDefault="00210E74" w:rsidP="005669B3">
            <w:pPr>
              <w:pStyle w:val="table-text"/>
              <w:spacing w:before="25" w:after="30"/>
              <w:ind w:right="346"/>
              <w:jc w:val="right"/>
            </w:pPr>
            <w:r w:rsidRPr="00630664">
              <w:t>0.4164</w:t>
            </w:r>
          </w:p>
        </w:tc>
      </w:tr>
      <w:tr w:rsidR="00210E74" w:rsidRPr="00846C44" w14:paraId="0B21087C" w14:textId="77777777" w:rsidTr="005669B3">
        <w:trPr>
          <w:cantSplit/>
        </w:trPr>
        <w:tc>
          <w:tcPr>
            <w:tcW w:w="2117" w:type="dxa"/>
            <w:hideMark/>
          </w:tcPr>
          <w:p w14:paraId="2E0432A5" w14:textId="77777777" w:rsidR="00210E74" w:rsidRPr="00630664" w:rsidRDefault="00210E74" w:rsidP="005669B3">
            <w:pPr>
              <w:pStyle w:val="table-textindent"/>
              <w:spacing w:before="25" w:after="30"/>
            </w:pPr>
            <w:r w:rsidRPr="00630664">
              <w:t>3–4 Years</w:t>
            </w:r>
          </w:p>
        </w:tc>
        <w:tc>
          <w:tcPr>
            <w:tcW w:w="1222" w:type="dxa"/>
            <w:vAlign w:val="bottom"/>
          </w:tcPr>
          <w:p w14:paraId="7217BE01" w14:textId="77777777" w:rsidR="00210E74" w:rsidRPr="00630664" w:rsidRDefault="00210E74" w:rsidP="005669B3">
            <w:pPr>
              <w:pStyle w:val="table-text"/>
              <w:spacing w:before="25" w:after="30"/>
              <w:ind w:right="346"/>
              <w:jc w:val="right"/>
            </w:pPr>
            <w:r w:rsidRPr="00630664">
              <w:t>RC</w:t>
            </w:r>
          </w:p>
        </w:tc>
        <w:tc>
          <w:tcPr>
            <w:tcW w:w="1161" w:type="dxa"/>
            <w:vAlign w:val="bottom"/>
          </w:tcPr>
          <w:p w14:paraId="13E112F1" w14:textId="77777777" w:rsidR="00210E74" w:rsidRPr="00630664" w:rsidRDefault="00210E74" w:rsidP="005669B3">
            <w:pPr>
              <w:pStyle w:val="table-text"/>
              <w:spacing w:before="25" w:after="30"/>
              <w:ind w:right="346"/>
              <w:jc w:val="right"/>
            </w:pPr>
            <w:r w:rsidRPr="00630664">
              <w:t>RC</w:t>
            </w:r>
          </w:p>
        </w:tc>
        <w:tc>
          <w:tcPr>
            <w:tcW w:w="1080" w:type="dxa"/>
            <w:vAlign w:val="bottom"/>
          </w:tcPr>
          <w:p w14:paraId="3CA074A7" w14:textId="77777777" w:rsidR="00210E74" w:rsidRPr="00630664" w:rsidRDefault="00210E74" w:rsidP="005669B3">
            <w:pPr>
              <w:pStyle w:val="table-text"/>
              <w:spacing w:before="25" w:after="30"/>
              <w:ind w:right="346"/>
              <w:jc w:val="right"/>
            </w:pPr>
            <w:r w:rsidRPr="00630664">
              <w:t>RC</w:t>
            </w:r>
          </w:p>
        </w:tc>
        <w:tc>
          <w:tcPr>
            <w:tcW w:w="1478" w:type="dxa"/>
            <w:vAlign w:val="bottom"/>
          </w:tcPr>
          <w:p w14:paraId="72A800FC"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323AA6FA" w14:textId="77777777" w:rsidR="00210E74" w:rsidRPr="00630664" w:rsidRDefault="00210E74" w:rsidP="005669B3">
            <w:pPr>
              <w:pStyle w:val="table-text"/>
              <w:spacing w:before="25" w:after="30"/>
              <w:ind w:right="346"/>
              <w:jc w:val="right"/>
            </w:pPr>
            <w:r w:rsidRPr="00630664">
              <w:t>RC</w:t>
            </w:r>
          </w:p>
        </w:tc>
        <w:tc>
          <w:tcPr>
            <w:tcW w:w="1223" w:type="dxa"/>
            <w:vAlign w:val="bottom"/>
          </w:tcPr>
          <w:p w14:paraId="0F24A029" w14:textId="77777777" w:rsidR="00210E74" w:rsidRPr="00630664" w:rsidRDefault="00210E74" w:rsidP="005669B3">
            <w:pPr>
              <w:pStyle w:val="table-text"/>
              <w:spacing w:before="25" w:after="30"/>
              <w:ind w:right="346"/>
              <w:jc w:val="right"/>
            </w:pPr>
            <w:r w:rsidRPr="00630664">
              <w:t>RC</w:t>
            </w:r>
          </w:p>
        </w:tc>
      </w:tr>
      <w:tr w:rsidR="00210E74" w:rsidRPr="00846C44" w14:paraId="0F631EB5" w14:textId="77777777" w:rsidTr="005669B3">
        <w:trPr>
          <w:cantSplit/>
        </w:trPr>
        <w:tc>
          <w:tcPr>
            <w:tcW w:w="2117" w:type="dxa"/>
            <w:hideMark/>
          </w:tcPr>
          <w:p w14:paraId="0D4F2A62" w14:textId="77777777" w:rsidR="00210E74" w:rsidRPr="00630664" w:rsidRDefault="00210E74" w:rsidP="005669B3">
            <w:pPr>
              <w:pStyle w:val="table-textindent"/>
              <w:spacing w:before="25" w:after="30"/>
            </w:pPr>
            <w:r w:rsidRPr="00630664">
              <w:t>5–7 Years</w:t>
            </w:r>
          </w:p>
        </w:tc>
        <w:tc>
          <w:tcPr>
            <w:tcW w:w="1222" w:type="dxa"/>
            <w:vAlign w:val="bottom"/>
          </w:tcPr>
          <w:p w14:paraId="3119A0F5" w14:textId="77777777" w:rsidR="00210E74" w:rsidRPr="00630664" w:rsidRDefault="00210E74" w:rsidP="005669B3">
            <w:pPr>
              <w:pStyle w:val="table-text"/>
              <w:spacing w:before="25" w:after="30"/>
              <w:ind w:right="346"/>
              <w:jc w:val="right"/>
            </w:pPr>
            <w:r w:rsidRPr="00630664">
              <w:t>-0.4848</w:t>
            </w:r>
          </w:p>
        </w:tc>
        <w:tc>
          <w:tcPr>
            <w:tcW w:w="1161" w:type="dxa"/>
            <w:vAlign w:val="bottom"/>
          </w:tcPr>
          <w:p w14:paraId="3F40A90D" w14:textId="77777777" w:rsidR="00210E74" w:rsidRPr="00630664" w:rsidRDefault="00210E74" w:rsidP="005669B3">
            <w:pPr>
              <w:pStyle w:val="table-text"/>
              <w:spacing w:before="25" w:after="30"/>
              <w:ind w:right="346"/>
              <w:jc w:val="right"/>
            </w:pPr>
            <w:r w:rsidRPr="00630664">
              <w:t>0.4143</w:t>
            </w:r>
          </w:p>
        </w:tc>
        <w:tc>
          <w:tcPr>
            <w:tcW w:w="1080" w:type="dxa"/>
            <w:vAlign w:val="bottom"/>
          </w:tcPr>
          <w:p w14:paraId="2EA22D98" w14:textId="77777777" w:rsidR="00210E74" w:rsidRPr="00630664" w:rsidRDefault="00210E74" w:rsidP="005669B3">
            <w:pPr>
              <w:pStyle w:val="table-text"/>
              <w:spacing w:before="25" w:after="30"/>
              <w:ind w:right="346"/>
              <w:jc w:val="right"/>
            </w:pPr>
            <w:r w:rsidRPr="00630664">
              <w:t>0.415</w:t>
            </w:r>
          </w:p>
        </w:tc>
        <w:tc>
          <w:tcPr>
            <w:tcW w:w="1478" w:type="dxa"/>
            <w:vAlign w:val="bottom"/>
          </w:tcPr>
          <w:p w14:paraId="1EBBD9D7" w14:textId="77777777" w:rsidR="00210E74" w:rsidRPr="00630664" w:rsidRDefault="00210E74" w:rsidP="005669B3">
            <w:pPr>
              <w:pStyle w:val="table-text"/>
              <w:spacing w:before="25" w:after="30"/>
              <w:ind w:right="346"/>
              <w:jc w:val="right"/>
            </w:pPr>
            <w:r w:rsidRPr="00630664">
              <w:t>-0.6139</w:t>
            </w:r>
          </w:p>
        </w:tc>
        <w:tc>
          <w:tcPr>
            <w:tcW w:w="1223" w:type="dxa"/>
            <w:vAlign w:val="bottom"/>
          </w:tcPr>
          <w:p w14:paraId="27A0DABC" w14:textId="77777777" w:rsidR="00210E74" w:rsidRPr="00630664" w:rsidRDefault="00210E74" w:rsidP="005669B3">
            <w:pPr>
              <w:pStyle w:val="table-text"/>
              <w:spacing w:before="25" w:after="30"/>
              <w:ind w:right="346"/>
              <w:jc w:val="right"/>
            </w:pPr>
            <w:r w:rsidRPr="00630664">
              <w:t>0.5584</w:t>
            </w:r>
          </w:p>
        </w:tc>
        <w:tc>
          <w:tcPr>
            <w:tcW w:w="1223" w:type="dxa"/>
            <w:vAlign w:val="bottom"/>
          </w:tcPr>
          <w:p w14:paraId="60F418AA" w14:textId="77777777" w:rsidR="00210E74" w:rsidRPr="00630664" w:rsidRDefault="00210E74" w:rsidP="005669B3">
            <w:pPr>
              <w:pStyle w:val="table-text"/>
              <w:spacing w:before="25" w:after="30"/>
              <w:ind w:right="346"/>
              <w:jc w:val="right"/>
            </w:pPr>
            <w:r w:rsidRPr="00630664">
              <w:t>-0.5333</w:t>
            </w:r>
          </w:p>
        </w:tc>
      </w:tr>
      <w:tr w:rsidR="00210E74" w:rsidRPr="00846C44" w14:paraId="00D80E19" w14:textId="77777777" w:rsidTr="005669B3">
        <w:trPr>
          <w:cantSplit/>
        </w:trPr>
        <w:tc>
          <w:tcPr>
            <w:tcW w:w="2117" w:type="dxa"/>
            <w:tcBorders>
              <w:bottom w:val="single" w:sz="12" w:space="0" w:color="auto"/>
            </w:tcBorders>
            <w:hideMark/>
          </w:tcPr>
          <w:p w14:paraId="689DBD46" w14:textId="77777777" w:rsidR="00210E74" w:rsidRPr="00630664" w:rsidRDefault="00210E74" w:rsidP="005669B3">
            <w:pPr>
              <w:pStyle w:val="table-textindent"/>
              <w:spacing w:before="25" w:after="30"/>
            </w:pPr>
            <w:r w:rsidRPr="00630664">
              <w:t>8+ Years</w:t>
            </w:r>
          </w:p>
        </w:tc>
        <w:tc>
          <w:tcPr>
            <w:tcW w:w="1222" w:type="dxa"/>
            <w:tcBorders>
              <w:bottom w:val="single" w:sz="12" w:space="0" w:color="auto"/>
            </w:tcBorders>
            <w:vAlign w:val="bottom"/>
          </w:tcPr>
          <w:p w14:paraId="06731720" w14:textId="77777777" w:rsidR="00210E74" w:rsidRPr="00630664" w:rsidRDefault="00210E74" w:rsidP="005669B3">
            <w:pPr>
              <w:pStyle w:val="table-text"/>
              <w:spacing w:before="25" w:after="30"/>
              <w:ind w:right="346"/>
              <w:jc w:val="right"/>
            </w:pPr>
            <w:r w:rsidRPr="00630664">
              <w:t>-1.237</w:t>
            </w:r>
          </w:p>
        </w:tc>
        <w:tc>
          <w:tcPr>
            <w:tcW w:w="1161" w:type="dxa"/>
            <w:tcBorders>
              <w:bottom w:val="single" w:sz="12" w:space="0" w:color="auto"/>
            </w:tcBorders>
            <w:vAlign w:val="bottom"/>
          </w:tcPr>
          <w:p w14:paraId="084AE14C" w14:textId="77777777" w:rsidR="00210E74" w:rsidRPr="00630664" w:rsidRDefault="00210E74" w:rsidP="005669B3">
            <w:pPr>
              <w:pStyle w:val="table-text"/>
              <w:spacing w:before="25" w:after="30"/>
              <w:ind w:right="346"/>
              <w:jc w:val="right"/>
            </w:pPr>
            <w:r w:rsidRPr="00630664">
              <w:t>0.3484</w:t>
            </w:r>
          </w:p>
        </w:tc>
        <w:tc>
          <w:tcPr>
            <w:tcW w:w="1080" w:type="dxa"/>
            <w:tcBorders>
              <w:bottom w:val="single" w:sz="12" w:space="0" w:color="auto"/>
            </w:tcBorders>
            <w:vAlign w:val="bottom"/>
          </w:tcPr>
          <w:p w14:paraId="3BB1DCB4" w14:textId="77777777" w:rsidR="00210E74" w:rsidRPr="00630664" w:rsidRDefault="00210E74" w:rsidP="005669B3">
            <w:pPr>
              <w:pStyle w:val="table-text"/>
              <w:spacing w:before="25" w:after="30"/>
              <w:ind w:right="346"/>
              <w:jc w:val="right"/>
            </w:pPr>
            <w:r w:rsidRPr="00630664">
              <w:t>0.2715</w:t>
            </w:r>
          </w:p>
        </w:tc>
        <w:tc>
          <w:tcPr>
            <w:tcW w:w="1478" w:type="dxa"/>
            <w:tcBorders>
              <w:bottom w:val="single" w:sz="12" w:space="0" w:color="auto"/>
            </w:tcBorders>
            <w:vAlign w:val="bottom"/>
          </w:tcPr>
          <w:p w14:paraId="316CB2CB" w14:textId="77777777" w:rsidR="00210E74" w:rsidRPr="00630664" w:rsidRDefault="00210E74" w:rsidP="005669B3">
            <w:pPr>
              <w:pStyle w:val="table-text"/>
              <w:spacing w:before="25" w:after="30"/>
              <w:ind w:right="346"/>
              <w:jc w:val="right"/>
            </w:pPr>
            <w:r w:rsidRPr="00630664">
              <w:t>-1.5419</w:t>
            </w:r>
          </w:p>
        </w:tc>
        <w:tc>
          <w:tcPr>
            <w:tcW w:w="1223" w:type="dxa"/>
            <w:tcBorders>
              <w:bottom w:val="single" w:sz="12" w:space="0" w:color="auto"/>
            </w:tcBorders>
            <w:vAlign w:val="bottom"/>
          </w:tcPr>
          <w:p w14:paraId="3213E193" w14:textId="77777777" w:rsidR="00210E74" w:rsidRPr="00630664" w:rsidRDefault="00210E74" w:rsidP="005669B3">
            <w:pPr>
              <w:pStyle w:val="table-text"/>
              <w:spacing w:before="25" w:after="30"/>
              <w:ind w:right="346"/>
              <w:jc w:val="right"/>
            </w:pPr>
            <w:r w:rsidRPr="00630664">
              <w:t>0.6692</w:t>
            </w:r>
          </w:p>
        </w:tc>
        <w:tc>
          <w:tcPr>
            <w:tcW w:w="1223" w:type="dxa"/>
            <w:tcBorders>
              <w:bottom w:val="single" w:sz="12" w:space="0" w:color="auto"/>
            </w:tcBorders>
            <w:vAlign w:val="bottom"/>
          </w:tcPr>
          <w:p w14:paraId="3FC19759" w14:textId="77777777" w:rsidR="00210E74" w:rsidRPr="00630664" w:rsidRDefault="00210E74" w:rsidP="005669B3">
            <w:pPr>
              <w:pStyle w:val="table-text"/>
              <w:spacing w:before="25" w:after="30"/>
              <w:ind w:right="346"/>
              <w:jc w:val="right"/>
            </w:pPr>
            <w:r w:rsidRPr="00630664">
              <w:t>-1.7871</w:t>
            </w:r>
          </w:p>
        </w:tc>
      </w:tr>
    </w:tbl>
    <w:p w14:paraId="7BA1839C" w14:textId="77777777" w:rsidR="00210E74" w:rsidRPr="007B4AA9" w:rsidRDefault="00210E74" w:rsidP="00210E74">
      <w:pPr>
        <w:pStyle w:val="table-sourcestd"/>
        <w:rPr>
          <w:sz w:val="20"/>
        </w:rPr>
      </w:pPr>
      <w:r w:rsidRPr="007B4AA9">
        <w:rPr>
          <w:sz w:val="20"/>
        </w:rPr>
        <w:t>RC = Reference Category</w:t>
      </w:r>
    </w:p>
    <w:p w14:paraId="7E42F027" w14:textId="77777777" w:rsidR="00210E74" w:rsidRDefault="00210E74" w:rsidP="00210E74">
      <w:pPr>
        <w:pStyle w:val="table-title"/>
      </w:pPr>
      <w:bookmarkStart w:id="44" w:name="_Toc491334003"/>
      <w:bookmarkStart w:id="45" w:name="_Toc494384144"/>
      <w:bookmarkStart w:id="46" w:name="_Toc497219376"/>
      <w:r>
        <w:lastRenderedPageBreak/>
        <w:t>Table 2.</w:t>
      </w:r>
      <w:r>
        <w:tab/>
        <w:t>National Means on Patient-Mix Adjustment Factors (Average for the Two 2016 ICH CAHPS Semiannual Surveys)</w:t>
      </w:r>
      <w:bookmarkEnd w:id="44"/>
      <w:bookmarkEnd w:id="45"/>
      <w:bookmarkEnd w:id="46"/>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210E74" w:rsidRPr="007B4AA9" w14:paraId="6F6D611F" w14:textId="77777777" w:rsidTr="005669B3">
        <w:trPr>
          <w:cantSplit/>
          <w:tblHeader/>
        </w:trPr>
        <w:tc>
          <w:tcPr>
            <w:tcW w:w="7297" w:type="dxa"/>
            <w:tcBorders>
              <w:top w:val="single" w:sz="12" w:space="0" w:color="auto"/>
            </w:tcBorders>
            <w:noWrap/>
            <w:vAlign w:val="bottom"/>
            <w:hideMark/>
          </w:tcPr>
          <w:p w14:paraId="690416E7" w14:textId="77777777" w:rsidR="00210E74" w:rsidRPr="007B4AA9" w:rsidRDefault="00210E74" w:rsidP="005669B3">
            <w:pPr>
              <w:pStyle w:val="table-headers"/>
              <w:ind w:left="150" w:hanging="150"/>
              <w:jc w:val="left"/>
            </w:pPr>
            <w:r w:rsidRPr="007B4AA9">
              <w:t>Patient Mix Characteristic</w:t>
            </w:r>
            <w:r w:rsidRPr="007B4AA9">
              <w:br/>
              <w:t>Patient Mix Level</w:t>
            </w:r>
          </w:p>
        </w:tc>
        <w:tc>
          <w:tcPr>
            <w:tcW w:w="2063" w:type="dxa"/>
            <w:tcBorders>
              <w:top w:val="single" w:sz="12" w:space="0" w:color="auto"/>
            </w:tcBorders>
            <w:vAlign w:val="bottom"/>
            <w:hideMark/>
          </w:tcPr>
          <w:p w14:paraId="5CEF9D2B" w14:textId="77777777" w:rsidR="00210E74" w:rsidRPr="007B4AA9" w:rsidRDefault="00210E74" w:rsidP="005669B3">
            <w:pPr>
              <w:pStyle w:val="table-headers"/>
            </w:pPr>
            <w:r w:rsidRPr="007B4AA9">
              <w:t>Mean</w:t>
            </w:r>
          </w:p>
        </w:tc>
      </w:tr>
      <w:tr w:rsidR="00210E74" w:rsidRPr="00846C44" w14:paraId="3DC65449" w14:textId="77777777" w:rsidTr="005669B3">
        <w:trPr>
          <w:cantSplit/>
        </w:trPr>
        <w:tc>
          <w:tcPr>
            <w:tcW w:w="7297" w:type="dxa"/>
          </w:tcPr>
          <w:p w14:paraId="5233CEAF" w14:textId="77777777" w:rsidR="00210E74" w:rsidRDefault="00210E74" w:rsidP="005669B3">
            <w:pPr>
              <w:pStyle w:val="table-text"/>
            </w:pPr>
            <w:r>
              <w:t>Survey Mode</w:t>
            </w:r>
          </w:p>
          <w:p w14:paraId="288CE31F" w14:textId="1E9F9D14" w:rsidR="00210E74" w:rsidRPr="00630664" w:rsidRDefault="00210E74" w:rsidP="005669B3">
            <w:pPr>
              <w:pStyle w:val="table-textindent"/>
            </w:pPr>
            <w:r w:rsidRPr="00630664">
              <w:t>Mail</w:t>
            </w:r>
            <w:r w:rsidR="00E05888">
              <w:t>-</w:t>
            </w:r>
            <w:r w:rsidRPr="00630664">
              <w:t>Only</w:t>
            </w:r>
          </w:p>
        </w:tc>
        <w:tc>
          <w:tcPr>
            <w:tcW w:w="2063" w:type="dxa"/>
            <w:vAlign w:val="bottom"/>
          </w:tcPr>
          <w:p w14:paraId="3FF1E40B" w14:textId="77777777" w:rsidR="00210E74" w:rsidRPr="00630664" w:rsidRDefault="00210E74" w:rsidP="005669B3">
            <w:pPr>
              <w:pStyle w:val="table-text"/>
              <w:jc w:val="center"/>
            </w:pPr>
            <w:r w:rsidRPr="00630664">
              <w:t>0.043</w:t>
            </w:r>
          </w:p>
        </w:tc>
      </w:tr>
      <w:tr w:rsidR="00210E74" w:rsidRPr="00846C44" w14:paraId="31B7F013" w14:textId="77777777" w:rsidTr="005669B3">
        <w:trPr>
          <w:cantSplit/>
        </w:trPr>
        <w:tc>
          <w:tcPr>
            <w:tcW w:w="7297" w:type="dxa"/>
          </w:tcPr>
          <w:p w14:paraId="7C9C49A2" w14:textId="4A8CADCC" w:rsidR="00210E74" w:rsidRPr="00630664" w:rsidRDefault="00210E74" w:rsidP="005669B3">
            <w:pPr>
              <w:pStyle w:val="table-textindent"/>
            </w:pPr>
            <w:r w:rsidRPr="00630664">
              <w:t>Phone</w:t>
            </w:r>
            <w:r w:rsidR="00E05888">
              <w:t>-</w:t>
            </w:r>
            <w:r w:rsidRPr="00630664">
              <w:t>Only</w:t>
            </w:r>
          </w:p>
        </w:tc>
        <w:tc>
          <w:tcPr>
            <w:tcW w:w="2063" w:type="dxa"/>
            <w:vAlign w:val="bottom"/>
          </w:tcPr>
          <w:p w14:paraId="12C1D93F" w14:textId="77777777" w:rsidR="00210E74" w:rsidRPr="00630664" w:rsidRDefault="00210E74" w:rsidP="005669B3">
            <w:pPr>
              <w:pStyle w:val="table-text"/>
              <w:jc w:val="center"/>
            </w:pPr>
            <w:r w:rsidRPr="00630664">
              <w:t>0.014</w:t>
            </w:r>
          </w:p>
        </w:tc>
      </w:tr>
      <w:tr w:rsidR="00210E74" w:rsidRPr="00846C44" w14:paraId="5445E959" w14:textId="77777777" w:rsidTr="005669B3">
        <w:trPr>
          <w:cantSplit/>
        </w:trPr>
        <w:tc>
          <w:tcPr>
            <w:tcW w:w="7297" w:type="dxa"/>
          </w:tcPr>
          <w:p w14:paraId="7881C67E" w14:textId="77777777" w:rsidR="00210E74" w:rsidRPr="00630664" w:rsidRDefault="00210E74" w:rsidP="005669B3">
            <w:pPr>
              <w:pStyle w:val="table-textindent"/>
            </w:pPr>
            <w:r w:rsidRPr="00630664">
              <w:t>Mixed Mode</w:t>
            </w:r>
          </w:p>
        </w:tc>
        <w:tc>
          <w:tcPr>
            <w:tcW w:w="2063" w:type="dxa"/>
            <w:vAlign w:val="bottom"/>
          </w:tcPr>
          <w:p w14:paraId="25A8B574" w14:textId="77777777" w:rsidR="00210E74" w:rsidRPr="00630664" w:rsidRDefault="00210E74" w:rsidP="005669B3">
            <w:pPr>
              <w:pStyle w:val="table-text"/>
              <w:jc w:val="center"/>
            </w:pPr>
            <w:r w:rsidRPr="00630664">
              <w:t>0.943</w:t>
            </w:r>
          </w:p>
        </w:tc>
      </w:tr>
      <w:tr w:rsidR="00210E74" w:rsidRPr="00846C44" w14:paraId="72846A16" w14:textId="77777777" w:rsidTr="005669B3">
        <w:trPr>
          <w:cantSplit/>
        </w:trPr>
        <w:tc>
          <w:tcPr>
            <w:tcW w:w="7297" w:type="dxa"/>
            <w:hideMark/>
          </w:tcPr>
          <w:p w14:paraId="1915DCBE" w14:textId="77777777" w:rsidR="00210E74" w:rsidRDefault="00210E74" w:rsidP="005669B3">
            <w:pPr>
              <w:pStyle w:val="table-text"/>
            </w:pPr>
            <w:r>
              <w:t>Patient Assisted with Survey</w:t>
            </w:r>
          </w:p>
          <w:p w14:paraId="76C21D97" w14:textId="77777777" w:rsidR="00210E74" w:rsidRPr="00630664" w:rsidRDefault="00210E74" w:rsidP="005669B3">
            <w:pPr>
              <w:pStyle w:val="table-textindent"/>
            </w:pPr>
            <w:r w:rsidRPr="00630664">
              <w:t>Yes</w:t>
            </w:r>
          </w:p>
        </w:tc>
        <w:tc>
          <w:tcPr>
            <w:tcW w:w="2063" w:type="dxa"/>
            <w:vAlign w:val="bottom"/>
          </w:tcPr>
          <w:p w14:paraId="0FF62F62" w14:textId="77777777" w:rsidR="00210E74" w:rsidRPr="00630664" w:rsidRDefault="00210E74" w:rsidP="005669B3">
            <w:pPr>
              <w:pStyle w:val="table-text"/>
              <w:jc w:val="center"/>
            </w:pPr>
            <w:r w:rsidRPr="00630664">
              <w:t>0.099</w:t>
            </w:r>
          </w:p>
        </w:tc>
      </w:tr>
      <w:tr w:rsidR="00210E74" w:rsidRPr="00846C44" w14:paraId="41D2C94A" w14:textId="77777777" w:rsidTr="005669B3">
        <w:trPr>
          <w:cantSplit/>
        </w:trPr>
        <w:tc>
          <w:tcPr>
            <w:tcW w:w="7297" w:type="dxa"/>
            <w:hideMark/>
          </w:tcPr>
          <w:p w14:paraId="5CE6C3A1" w14:textId="77777777" w:rsidR="00210E74" w:rsidRPr="00630664" w:rsidRDefault="00210E74" w:rsidP="005669B3">
            <w:pPr>
              <w:pStyle w:val="table-textindent"/>
            </w:pPr>
            <w:r w:rsidRPr="00630664">
              <w:t>No</w:t>
            </w:r>
          </w:p>
        </w:tc>
        <w:tc>
          <w:tcPr>
            <w:tcW w:w="2063" w:type="dxa"/>
            <w:vAlign w:val="bottom"/>
          </w:tcPr>
          <w:p w14:paraId="1BEBD839" w14:textId="77777777" w:rsidR="00210E74" w:rsidRPr="00630664" w:rsidRDefault="00210E74" w:rsidP="005669B3">
            <w:pPr>
              <w:pStyle w:val="table-text"/>
              <w:jc w:val="center"/>
            </w:pPr>
            <w:r w:rsidRPr="00630664">
              <w:t>0.901</w:t>
            </w:r>
          </w:p>
        </w:tc>
      </w:tr>
      <w:tr w:rsidR="00210E74" w:rsidRPr="00846C44" w14:paraId="043E7B2B" w14:textId="77777777" w:rsidTr="005669B3">
        <w:trPr>
          <w:cantSplit/>
        </w:trPr>
        <w:tc>
          <w:tcPr>
            <w:tcW w:w="7297" w:type="dxa"/>
            <w:hideMark/>
          </w:tcPr>
          <w:p w14:paraId="4E80F9C4" w14:textId="77777777" w:rsidR="00210E74" w:rsidRDefault="00210E74" w:rsidP="005669B3">
            <w:pPr>
              <w:pStyle w:val="table-text"/>
            </w:pPr>
            <w:r>
              <w:t>Patient Speaks Language Other than English at Home</w:t>
            </w:r>
          </w:p>
          <w:p w14:paraId="44FAC4E5" w14:textId="77777777" w:rsidR="00210E74" w:rsidRPr="00630664" w:rsidRDefault="00210E74" w:rsidP="005669B3">
            <w:pPr>
              <w:pStyle w:val="table-textindent"/>
            </w:pPr>
            <w:r w:rsidRPr="00630664">
              <w:t>Yes</w:t>
            </w:r>
          </w:p>
        </w:tc>
        <w:tc>
          <w:tcPr>
            <w:tcW w:w="2063" w:type="dxa"/>
            <w:vAlign w:val="bottom"/>
          </w:tcPr>
          <w:p w14:paraId="63606639" w14:textId="77777777" w:rsidR="00210E74" w:rsidRPr="00630664" w:rsidRDefault="00210E74" w:rsidP="005669B3">
            <w:pPr>
              <w:pStyle w:val="table-text"/>
              <w:jc w:val="center"/>
            </w:pPr>
            <w:r w:rsidRPr="00630664">
              <w:t>0.150</w:t>
            </w:r>
          </w:p>
        </w:tc>
      </w:tr>
      <w:tr w:rsidR="00210E74" w:rsidRPr="00846C44" w14:paraId="298EDFA8" w14:textId="77777777" w:rsidTr="005669B3">
        <w:trPr>
          <w:cantSplit/>
        </w:trPr>
        <w:tc>
          <w:tcPr>
            <w:tcW w:w="7297" w:type="dxa"/>
            <w:hideMark/>
          </w:tcPr>
          <w:p w14:paraId="6C07C7A8" w14:textId="77777777" w:rsidR="00210E74" w:rsidRPr="00630664" w:rsidRDefault="00210E74" w:rsidP="005669B3">
            <w:pPr>
              <w:pStyle w:val="table-textindent"/>
            </w:pPr>
            <w:r w:rsidRPr="00630664">
              <w:t>No</w:t>
            </w:r>
          </w:p>
        </w:tc>
        <w:tc>
          <w:tcPr>
            <w:tcW w:w="2063" w:type="dxa"/>
            <w:vAlign w:val="bottom"/>
          </w:tcPr>
          <w:p w14:paraId="01836A3A" w14:textId="77777777" w:rsidR="00210E74" w:rsidRPr="00630664" w:rsidRDefault="00210E74" w:rsidP="005669B3">
            <w:pPr>
              <w:pStyle w:val="table-text"/>
              <w:jc w:val="center"/>
            </w:pPr>
            <w:r w:rsidRPr="00630664">
              <w:t>0.850</w:t>
            </w:r>
          </w:p>
        </w:tc>
      </w:tr>
      <w:tr w:rsidR="00210E74" w:rsidRPr="00846C44" w14:paraId="01AD6334" w14:textId="77777777" w:rsidTr="005669B3">
        <w:trPr>
          <w:cantSplit/>
        </w:trPr>
        <w:tc>
          <w:tcPr>
            <w:tcW w:w="7297" w:type="dxa"/>
            <w:hideMark/>
          </w:tcPr>
          <w:p w14:paraId="6926E66E" w14:textId="77777777" w:rsidR="00210E74" w:rsidRDefault="00210E74" w:rsidP="005669B3">
            <w:pPr>
              <w:pStyle w:val="table-text"/>
            </w:pPr>
            <w:r>
              <w:t>Overall Health</w:t>
            </w:r>
          </w:p>
          <w:p w14:paraId="1462EA5C" w14:textId="77777777" w:rsidR="00210E74" w:rsidRPr="00630664" w:rsidRDefault="00210E74" w:rsidP="005669B3">
            <w:pPr>
              <w:pStyle w:val="table-textindent"/>
            </w:pPr>
            <w:r w:rsidRPr="00630664">
              <w:t>Excellent</w:t>
            </w:r>
          </w:p>
        </w:tc>
        <w:tc>
          <w:tcPr>
            <w:tcW w:w="2063" w:type="dxa"/>
            <w:vAlign w:val="bottom"/>
          </w:tcPr>
          <w:p w14:paraId="31C585DE" w14:textId="77777777" w:rsidR="00210E74" w:rsidRPr="00630664" w:rsidRDefault="00210E74" w:rsidP="005669B3">
            <w:pPr>
              <w:pStyle w:val="table-text"/>
              <w:jc w:val="center"/>
            </w:pPr>
            <w:r w:rsidRPr="00630664">
              <w:t>0.056</w:t>
            </w:r>
          </w:p>
        </w:tc>
      </w:tr>
      <w:tr w:rsidR="00210E74" w:rsidRPr="00846C44" w14:paraId="00CDC6CC" w14:textId="77777777" w:rsidTr="005669B3">
        <w:trPr>
          <w:cantSplit/>
        </w:trPr>
        <w:tc>
          <w:tcPr>
            <w:tcW w:w="7297" w:type="dxa"/>
            <w:hideMark/>
          </w:tcPr>
          <w:p w14:paraId="73C3754A" w14:textId="77777777" w:rsidR="00210E74" w:rsidRPr="00630664" w:rsidRDefault="00210E74" w:rsidP="005669B3">
            <w:pPr>
              <w:pStyle w:val="table-textindent"/>
            </w:pPr>
            <w:r w:rsidRPr="00630664">
              <w:t>Very Good</w:t>
            </w:r>
          </w:p>
        </w:tc>
        <w:tc>
          <w:tcPr>
            <w:tcW w:w="2063" w:type="dxa"/>
            <w:vAlign w:val="bottom"/>
          </w:tcPr>
          <w:p w14:paraId="2C7788F4" w14:textId="77777777" w:rsidR="00210E74" w:rsidRPr="00630664" w:rsidRDefault="00210E74" w:rsidP="005669B3">
            <w:pPr>
              <w:pStyle w:val="table-text"/>
              <w:jc w:val="center"/>
            </w:pPr>
            <w:r w:rsidRPr="00630664">
              <w:t>0.163</w:t>
            </w:r>
          </w:p>
        </w:tc>
      </w:tr>
      <w:tr w:rsidR="00210E74" w:rsidRPr="00846C44" w14:paraId="63829BFC" w14:textId="77777777" w:rsidTr="005669B3">
        <w:trPr>
          <w:cantSplit/>
        </w:trPr>
        <w:tc>
          <w:tcPr>
            <w:tcW w:w="7297" w:type="dxa"/>
            <w:hideMark/>
          </w:tcPr>
          <w:p w14:paraId="71501E87" w14:textId="77777777" w:rsidR="00210E74" w:rsidRPr="00630664" w:rsidRDefault="00210E74" w:rsidP="005669B3">
            <w:pPr>
              <w:pStyle w:val="table-textindent"/>
            </w:pPr>
            <w:r w:rsidRPr="00630664">
              <w:t>Good</w:t>
            </w:r>
          </w:p>
        </w:tc>
        <w:tc>
          <w:tcPr>
            <w:tcW w:w="2063" w:type="dxa"/>
            <w:vAlign w:val="bottom"/>
          </w:tcPr>
          <w:p w14:paraId="29B01782" w14:textId="77777777" w:rsidR="00210E74" w:rsidRPr="00630664" w:rsidRDefault="00210E74" w:rsidP="005669B3">
            <w:pPr>
              <w:pStyle w:val="table-text"/>
              <w:jc w:val="center"/>
            </w:pPr>
            <w:r w:rsidRPr="00630664">
              <w:t>0.374</w:t>
            </w:r>
          </w:p>
        </w:tc>
      </w:tr>
      <w:tr w:rsidR="00210E74" w:rsidRPr="00846C44" w14:paraId="5766FD97" w14:textId="77777777" w:rsidTr="005669B3">
        <w:trPr>
          <w:cantSplit/>
        </w:trPr>
        <w:tc>
          <w:tcPr>
            <w:tcW w:w="7297" w:type="dxa"/>
            <w:hideMark/>
          </w:tcPr>
          <w:p w14:paraId="24A6F082" w14:textId="77777777" w:rsidR="00210E74" w:rsidRPr="00630664" w:rsidRDefault="00210E74" w:rsidP="005669B3">
            <w:pPr>
              <w:pStyle w:val="table-textindent"/>
            </w:pPr>
            <w:r w:rsidRPr="00630664">
              <w:t>Fair</w:t>
            </w:r>
          </w:p>
        </w:tc>
        <w:tc>
          <w:tcPr>
            <w:tcW w:w="2063" w:type="dxa"/>
            <w:vAlign w:val="bottom"/>
          </w:tcPr>
          <w:p w14:paraId="33657C86" w14:textId="77777777" w:rsidR="00210E74" w:rsidRPr="00630664" w:rsidRDefault="00210E74" w:rsidP="005669B3">
            <w:pPr>
              <w:pStyle w:val="table-text"/>
              <w:jc w:val="center"/>
            </w:pPr>
            <w:r w:rsidRPr="00630664">
              <w:t>0.326</w:t>
            </w:r>
          </w:p>
        </w:tc>
      </w:tr>
      <w:tr w:rsidR="00210E74" w:rsidRPr="00846C44" w14:paraId="3DBFE083" w14:textId="77777777" w:rsidTr="005669B3">
        <w:trPr>
          <w:cantSplit/>
        </w:trPr>
        <w:tc>
          <w:tcPr>
            <w:tcW w:w="7297" w:type="dxa"/>
            <w:hideMark/>
          </w:tcPr>
          <w:p w14:paraId="251B6CB0" w14:textId="77777777" w:rsidR="00210E74" w:rsidRPr="00630664" w:rsidRDefault="00210E74" w:rsidP="005669B3">
            <w:pPr>
              <w:pStyle w:val="table-textindent"/>
            </w:pPr>
            <w:r w:rsidRPr="00630664">
              <w:t>Poor</w:t>
            </w:r>
          </w:p>
        </w:tc>
        <w:tc>
          <w:tcPr>
            <w:tcW w:w="2063" w:type="dxa"/>
            <w:vAlign w:val="bottom"/>
          </w:tcPr>
          <w:p w14:paraId="282565D2" w14:textId="77777777" w:rsidR="00210E74" w:rsidRPr="00630664" w:rsidRDefault="00210E74" w:rsidP="005669B3">
            <w:pPr>
              <w:pStyle w:val="table-text"/>
              <w:jc w:val="center"/>
            </w:pPr>
            <w:r w:rsidRPr="00630664">
              <w:t>0.081</w:t>
            </w:r>
          </w:p>
        </w:tc>
      </w:tr>
      <w:tr w:rsidR="00210E74" w:rsidRPr="00846C44" w14:paraId="61B47729" w14:textId="77777777" w:rsidTr="005669B3">
        <w:trPr>
          <w:cantSplit/>
        </w:trPr>
        <w:tc>
          <w:tcPr>
            <w:tcW w:w="7297" w:type="dxa"/>
            <w:hideMark/>
          </w:tcPr>
          <w:p w14:paraId="0514D66A" w14:textId="77777777" w:rsidR="00210E74" w:rsidRDefault="00210E74" w:rsidP="005669B3">
            <w:pPr>
              <w:pStyle w:val="table-text"/>
            </w:pPr>
            <w:r>
              <w:t>Mental Health</w:t>
            </w:r>
          </w:p>
          <w:p w14:paraId="0B72454D" w14:textId="77777777" w:rsidR="00210E74" w:rsidRPr="00630664" w:rsidRDefault="00210E74" w:rsidP="005669B3">
            <w:pPr>
              <w:pStyle w:val="table-textindent"/>
            </w:pPr>
            <w:r w:rsidRPr="00630664">
              <w:t>Excellent</w:t>
            </w:r>
          </w:p>
        </w:tc>
        <w:tc>
          <w:tcPr>
            <w:tcW w:w="2063" w:type="dxa"/>
            <w:vAlign w:val="bottom"/>
          </w:tcPr>
          <w:p w14:paraId="39D95591" w14:textId="77777777" w:rsidR="00210E74" w:rsidRPr="00630664" w:rsidRDefault="00210E74" w:rsidP="005669B3">
            <w:pPr>
              <w:pStyle w:val="table-text"/>
              <w:jc w:val="center"/>
            </w:pPr>
            <w:r w:rsidRPr="00630664">
              <w:t>0.183</w:t>
            </w:r>
          </w:p>
        </w:tc>
      </w:tr>
      <w:tr w:rsidR="00210E74" w:rsidRPr="00846C44" w14:paraId="0EDD8BA4" w14:textId="77777777" w:rsidTr="005669B3">
        <w:trPr>
          <w:cantSplit/>
        </w:trPr>
        <w:tc>
          <w:tcPr>
            <w:tcW w:w="7297" w:type="dxa"/>
            <w:hideMark/>
          </w:tcPr>
          <w:p w14:paraId="634C57C7" w14:textId="77777777" w:rsidR="00210E74" w:rsidRPr="00630664" w:rsidRDefault="00210E74" w:rsidP="005669B3">
            <w:pPr>
              <w:pStyle w:val="table-textindent"/>
            </w:pPr>
            <w:r w:rsidRPr="00630664">
              <w:t>Very Good</w:t>
            </w:r>
          </w:p>
        </w:tc>
        <w:tc>
          <w:tcPr>
            <w:tcW w:w="2063" w:type="dxa"/>
            <w:vAlign w:val="bottom"/>
          </w:tcPr>
          <w:p w14:paraId="02D05F1D" w14:textId="77777777" w:rsidR="00210E74" w:rsidRPr="00630664" w:rsidRDefault="00210E74" w:rsidP="005669B3">
            <w:pPr>
              <w:pStyle w:val="table-text"/>
              <w:jc w:val="center"/>
            </w:pPr>
            <w:r w:rsidRPr="00630664">
              <w:t>0.267</w:t>
            </w:r>
          </w:p>
        </w:tc>
      </w:tr>
      <w:tr w:rsidR="00210E74" w:rsidRPr="00846C44" w14:paraId="2ABCBDD5" w14:textId="77777777" w:rsidTr="005669B3">
        <w:trPr>
          <w:cantSplit/>
        </w:trPr>
        <w:tc>
          <w:tcPr>
            <w:tcW w:w="7297" w:type="dxa"/>
            <w:hideMark/>
          </w:tcPr>
          <w:p w14:paraId="6442DD95" w14:textId="77777777" w:rsidR="00210E74" w:rsidRPr="00630664" w:rsidRDefault="00210E74" w:rsidP="005669B3">
            <w:pPr>
              <w:pStyle w:val="table-textindent"/>
            </w:pPr>
            <w:r w:rsidRPr="00630664">
              <w:t>Good</w:t>
            </w:r>
          </w:p>
        </w:tc>
        <w:tc>
          <w:tcPr>
            <w:tcW w:w="2063" w:type="dxa"/>
            <w:vAlign w:val="bottom"/>
          </w:tcPr>
          <w:p w14:paraId="743B8726" w14:textId="77777777" w:rsidR="00210E74" w:rsidRPr="00630664" w:rsidRDefault="00210E74" w:rsidP="005669B3">
            <w:pPr>
              <w:pStyle w:val="table-text"/>
              <w:jc w:val="center"/>
            </w:pPr>
            <w:r w:rsidRPr="00630664">
              <w:t>0.347</w:t>
            </w:r>
          </w:p>
        </w:tc>
      </w:tr>
      <w:tr w:rsidR="00210E74" w:rsidRPr="00846C44" w14:paraId="0100C2A8" w14:textId="77777777" w:rsidTr="005669B3">
        <w:trPr>
          <w:cantSplit/>
        </w:trPr>
        <w:tc>
          <w:tcPr>
            <w:tcW w:w="7297" w:type="dxa"/>
            <w:hideMark/>
          </w:tcPr>
          <w:p w14:paraId="25CB6621" w14:textId="77777777" w:rsidR="00210E74" w:rsidRPr="00630664" w:rsidRDefault="00210E74" w:rsidP="005669B3">
            <w:pPr>
              <w:pStyle w:val="table-textindent"/>
            </w:pPr>
            <w:r w:rsidRPr="00630664">
              <w:t>Fair</w:t>
            </w:r>
          </w:p>
        </w:tc>
        <w:tc>
          <w:tcPr>
            <w:tcW w:w="2063" w:type="dxa"/>
            <w:vAlign w:val="bottom"/>
          </w:tcPr>
          <w:p w14:paraId="0719B9FD" w14:textId="77777777" w:rsidR="00210E74" w:rsidRPr="00630664" w:rsidRDefault="00210E74" w:rsidP="005669B3">
            <w:pPr>
              <w:pStyle w:val="table-text"/>
              <w:jc w:val="center"/>
            </w:pPr>
            <w:r w:rsidRPr="00630664">
              <w:t>0.177</w:t>
            </w:r>
          </w:p>
        </w:tc>
      </w:tr>
      <w:tr w:rsidR="00210E74" w:rsidRPr="00846C44" w14:paraId="568DF074" w14:textId="77777777" w:rsidTr="005669B3">
        <w:trPr>
          <w:cantSplit/>
        </w:trPr>
        <w:tc>
          <w:tcPr>
            <w:tcW w:w="7297" w:type="dxa"/>
            <w:hideMark/>
          </w:tcPr>
          <w:p w14:paraId="15384CCC" w14:textId="77777777" w:rsidR="00210E74" w:rsidRPr="00630664" w:rsidRDefault="00210E74" w:rsidP="005669B3">
            <w:pPr>
              <w:pStyle w:val="table-textindent"/>
            </w:pPr>
            <w:r w:rsidRPr="00630664">
              <w:t>Poor</w:t>
            </w:r>
          </w:p>
        </w:tc>
        <w:tc>
          <w:tcPr>
            <w:tcW w:w="2063" w:type="dxa"/>
            <w:vAlign w:val="bottom"/>
          </w:tcPr>
          <w:p w14:paraId="2BE6F691" w14:textId="77777777" w:rsidR="00210E74" w:rsidRPr="00630664" w:rsidRDefault="00210E74" w:rsidP="005669B3">
            <w:pPr>
              <w:pStyle w:val="table-text"/>
              <w:jc w:val="center"/>
            </w:pPr>
            <w:r w:rsidRPr="00630664">
              <w:t>0.026</w:t>
            </w:r>
          </w:p>
        </w:tc>
      </w:tr>
      <w:tr w:rsidR="00210E74" w:rsidRPr="00846C44" w14:paraId="5A267AC3" w14:textId="77777777" w:rsidTr="005669B3">
        <w:trPr>
          <w:cantSplit/>
        </w:trPr>
        <w:tc>
          <w:tcPr>
            <w:tcW w:w="7297" w:type="dxa"/>
            <w:hideMark/>
          </w:tcPr>
          <w:p w14:paraId="1E4E772F" w14:textId="77777777" w:rsidR="00210E74" w:rsidRDefault="00210E74" w:rsidP="005669B3">
            <w:pPr>
              <w:pStyle w:val="table-text"/>
            </w:pPr>
            <w:r>
              <w:t>Treated for Heart Disease or Problems</w:t>
            </w:r>
          </w:p>
          <w:p w14:paraId="433F0A8F" w14:textId="77777777" w:rsidR="00210E74" w:rsidRPr="00630664" w:rsidRDefault="00210E74" w:rsidP="005669B3">
            <w:pPr>
              <w:pStyle w:val="table-textindent"/>
            </w:pPr>
            <w:r w:rsidRPr="00630664">
              <w:t>Yes</w:t>
            </w:r>
          </w:p>
        </w:tc>
        <w:tc>
          <w:tcPr>
            <w:tcW w:w="2063" w:type="dxa"/>
            <w:vAlign w:val="bottom"/>
          </w:tcPr>
          <w:p w14:paraId="6484EA89" w14:textId="77777777" w:rsidR="00210E74" w:rsidRPr="00630664" w:rsidRDefault="00210E74" w:rsidP="005669B3">
            <w:pPr>
              <w:pStyle w:val="table-text"/>
              <w:jc w:val="center"/>
            </w:pPr>
            <w:r w:rsidRPr="00630664">
              <w:t>0.443</w:t>
            </w:r>
          </w:p>
        </w:tc>
      </w:tr>
      <w:tr w:rsidR="00210E74" w:rsidRPr="00846C44" w14:paraId="7B6FDC4C" w14:textId="77777777" w:rsidTr="005669B3">
        <w:trPr>
          <w:cantSplit/>
        </w:trPr>
        <w:tc>
          <w:tcPr>
            <w:tcW w:w="7297" w:type="dxa"/>
            <w:hideMark/>
          </w:tcPr>
          <w:p w14:paraId="11406163" w14:textId="77777777" w:rsidR="00210E74" w:rsidRPr="00630664" w:rsidRDefault="00210E74" w:rsidP="005669B3">
            <w:pPr>
              <w:pStyle w:val="table-textindent"/>
            </w:pPr>
            <w:r w:rsidRPr="00630664">
              <w:t>No</w:t>
            </w:r>
          </w:p>
        </w:tc>
        <w:tc>
          <w:tcPr>
            <w:tcW w:w="2063" w:type="dxa"/>
            <w:vAlign w:val="bottom"/>
          </w:tcPr>
          <w:p w14:paraId="6DE4BE92" w14:textId="77777777" w:rsidR="00210E74" w:rsidRPr="00630664" w:rsidRDefault="00210E74" w:rsidP="005669B3">
            <w:pPr>
              <w:pStyle w:val="table-text"/>
              <w:jc w:val="center"/>
            </w:pPr>
            <w:r w:rsidRPr="00630664">
              <w:t>0.557</w:t>
            </w:r>
          </w:p>
        </w:tc>
      </w:tr>
      <w:tr w:rsidR="00210E74" w:rsidRPr="00846C44" w14:paraId="6D51F088" w14:textId="77777777" w:rsidTr="005669B3">
        <w:trPr>
          <w:cantSplit/>
        </w:trPr>
        <w:tc>
          <w:tcPr>
            <w:tcW w:w="7297" w:type="dxa"/>
            <w:hideMark/>
          </w:tcPr>
          <w:p w14:paraId="0D635A28" w14:textId="77777777" w:rsidR="00210E74" w:rsidRDefault="00210E74" w:rsidP="005669B3">
            <w:pPr>
              <w:pStyle w:val="table-text"/>
            </w:pPr>
            <w:r>
              <w:t>Deaf or Difficulty Hearing</w:t>
            </w:r>
          </w:p>
          <w:p w14:paraId="37865E77" w14:textId="77777777" w:rsidR="00210E74" w:rsidRPr="00630664" w:rsidRDefault="00210E74" w:rsidP="005669B3">
            <w:pPr>
              <w:pStyle w:val="table-textindent"/>
            </w:pPr>
            <w:r w:rsidRPr="00630664">
              <w:t>Yes</w:t>
            </w:r>
          </w:p>
        </w:tc>
        <w:tc>
          <w:tcPr>
            <w:tcW w:w="2063" w:type="dxa"/>
            <w:vAlign w:val="bottom"/>
          </w:tcPr>
          <w:p w14:paraId="38E2BBF8" w14:textId="77777777" w:rsidR="00210E74" w:rsidRPr="00630664" w:rsidRDefault="00210E74" w:rsidP="005669B3">
            <w:pPr>
              <w:pStyle w:val="table-text"/>
              <w:jc w:val="center"/>
            </w:pPr>
            <w:r w:rsidRPr="00630664">
              <w:t>0.159</w:t>
            </w:r>
          </w:p>
        </w:tc>
      </w:tr>
      <w:tr w:rsidR="00210E74" w:rsidRPr="00846C44" w14:paraId="040A6B9A" w14:textId="77777777" w:rsidTr="005669B3">
        <w:trPr>
          <w:cantSplit/>
        </w:trPr>
        <w:tc>
          <w:tcPr>
            <w:tcW w:w="7297" w:type="dxa"/>
            <w:hideMark/>
          </w:tcPr>
          <w:p w14:paraId="7B8590A2" w14:textId="77777777" w:rsidR="00210E74" w:rsidRPr="00630664" w:rsidRDefault="00210E74" w:rsidP="005669B3">
            <w:pPr>
              <w:pStyle w:val="table-textindent"/>
            </w:pPr>
            <w:r w:rsidRPr="00630664">
              <w:t>No</w:t>
            </w:r>
          </w:p>
        </w:tc>
        <w:tc>
          <w:tcPr>
            <w:tcW w:w="2063" w:type="dxa"/>
            <w:vAlign w:val="bottom"/>
          </w:tcPr>
          <w:p w14:paraId="4E0A812D" w14:textId="77777777" w:rsidR="00210E74" w:rsidRPr="00630664" w:rsidRDefault="00210E74" w:rsidP="005669B3">
            <w:pPr>
              <w:pStyle w:val="table-text"/>
              <w:jc w:val="center"/>
            </w:pPr>
            <w:r w:rsidRPr="00630664">
              <w:t>0.841</w:t>
            </w:r>
          </w:p>
        </w:tc>
      </w:tr>
      <w:tr w:rsidR="00210E74" w:rsidRPr="00846C44" w14:paraId="0F989BA8" w14:textId="77777777" w:rsidTr="005669B3">
        <w:trPr>
          <w:cantSplit/>
        </w:trPr>
        <w:tc>
          <w:tcPr>
            <w:tcW w:w="7297" w:type="dxa"/>
            <w:hideMark/>
          </w:tcPr>
          <w:p w14:paraId="1ECE94AA" w14:textId="77777777" w:rsidR="00210E74" w:rsidRDefault="00210E74" w:rsidP="005669B3">
            <w:pPr>
              <w:pStyle w:val="table-text"/>
            </w:pPr>
            <w:r>
              <w:t>Blind or Difficulty Seeing</w:t>
            </w:r>
          </w:p>
          <w:p w14:paraId="762A0D8E" w14:textId="77777777" w:rsidR="00210E74" w:rsidRPr="00630664" w:rsidRDefault="00210E74" w:rsidP="005669B3">
            <w:pPr>
              <w:pStyle w:val="table-textindent"/>
            </w:pPr>
            <w:r w:rsidRPr="00630664">
              <w:t>Yes</w:t>
            </w:r>
          </w:p>
        </w:tc>
        <w:tc>
          <w:tcPr>
            <w:tcW w:w="2063" w:type="dxa"/>
            <w:vAlign w:val="bottom"/>
          </w:tcPr>
          <w:p w14:paraId="4656EB95" w14:textId="77777777" w:rsidR="00210E74" w:rsidRPr="00630664" w:rsidRDefault="00210E74" w:rsidP="005669B3">
            <w:pPr>
              <w:pStyle w:val="table-text"/>
              <w:jc w:val="center"/>
            </w:pPr>
            <w:r w:rsidRPr="00630664">
              <w:t>0.201</w:t>
            </w:r>
          </w:p>
        </w:tc>
      </w:tr>
      <w:tr w:rsidR="00210E74" w:rsidRPr="00846C44" w14:paraId="291F2443" w14:textId="77777777" w:rsidTr="005669B3">
        <w:trPr>
          <w:cantSplit/>
        </w:trPr>
        <w:tc>
          <w:tcPr>
            <w:tcW w:w="7297" w:type="dxa"/>
            <w:hideMark/>
          </w:tcPr>
          <w:p w14:paraId="6C983E6A" w14:textId="77777777" w:rsidR="00210E74" w:rsidRPr="00630664" w:rsidRDefault="00210E74" w:rsidP="005669B3">
            <w:pPr>
              <w:pStyle w:val="table-textindent"/>
            </w:pPr>
            <w:r w:rsidRPr="00630664">
              <w:t>No</w:t>
            </w:r>
          </w:p>
        </w:tc>
        <w:tc>
          <w:tcPr>
            <w:tcW w:w="2063" w:type="dxa"/>
            <w:vAlign w:val="bottom"/>
          </w:tcPr>
          <w:p w14:paraId="279F662A" w14:textId="77777777" w:rsidR="00210E74" w:rsidRPr="00630664" w:rsidRDefault="00210E74" w:rsidP="005669B3">
            <w:pPr>
              <w:pStyle w:val="table-text"/>
              <w:jc w:val="center"/>
            </w:pPr>
            <w:r w:rsidRPr="00630664">
              <w:t>0.799</w:t>
            </w:r>
          </w:p>
        </w:tc>
      </w:tr>
      <w:tr w:rsidR="00210E74" w:rsidRPr="00846C44" w14:paraId="67958232" w14:textId="77777777" w:rsidTr="005669B3">
        <w:trPr>
          <w:cantSplit/>
        </w:trPr>
        <w:tc>
          <w:tcPr>
            <w:tcW w:w="7297" w:type="dxa"/>
            <w:hideMark/>
          </w:tcPr>
          <w:p w14:paraId="2ABEF15D" w14:textId="77777777" w:rsidR="00210E74" w:rsidRDefault="00210E74" w:rsidP="005669B3">
            <w:pPr>
              <w:pStyle w:val="table-text"/>
            </w:pPr>
            <w:r>
              <w:t>Difficulty Dressing or Bathing</w:t>
            </w:r>
          </w:p>
          <w:p w14:paraId="7A3E3A26" w14:textId="77777777" w:rsidR="00210E74" w:rsidRPr="00630664" w:rsidRDefault="00210E74" w:rsidP="005669B3">
            <w:pPr>
              <w:pStyle w:val="table-textindent"/>
            </w:pPr>
            <w:r w:rsidRPr="00630664">
              <w:t>Yes</w:t>
            </w:r>
          </w:p>
        </w:tc>
        <w:tc>
          <w:tcPr>
            <w:tcW w:w="2063" w:type="dxa"/>
            <w:vAlign w:val="bottom"/>
          </w:tcPr>
          <w:p w14:paraId="4049BAF1" w14:textId="77777777" w:rsidR="00210E74" w:rsidRPr="00630664" w:rsidRDefault="00210E74" w:rsidP="005669B3">
            <w:pPr>
              <w:pStyle w:val="table-text"/>
              <w:jc w:val="center"/>
            </w:pPr>
            <w:r w:rsidRPr="00630664">
              <w:t>0.186</w:t>
            </w:r>
          </w:p>
        </w:tc>
      </w:tr>
      <w:tr w:rsidR="00210E74" w:rsidRPr="00846C44" w14:paraId="603CF729" w14:textId="77777777" w:rsidTr="005669B3">
        <w:trPr>
          <w:cantSplit/>
        </w:trPr>
        <w:tc>
          <w:tcPr>
            <w:tcW w:w="7297" w:type="dxa"/>
            <w:tcBorders>
              <w:bottom w:val="single" w:sz="6" w:space="0" w:color="auto"/>
            </w:tcBorders>
            <w:hideMark/>
          </w:tcPr>
          <w:p w14:paraId="6DB09F6A" w14:textId="77777777" w:rsidR="00210E74" w:rsidRPr="00630664" w:rsidRDefault="00210E74" w:rsidP="005669B3">
            <w:pPr>
              <w:pStyle w:val="table-textindent"/>
            </w:pPr>
            <w:r w:rsidRPr="00630664">
              <w:t>No</w:t>
            </w:r>
          </w:p>
        </w:tc>
        <w:tc>
          <w:tcPr>
            <w:tcW w:w="2063" w:type="dxa"/>
            <w:tcBorders>
              <w:bottom w:val="single" w:sz="6" w:space="0" w:color="auto"/>
            </w:tcBorders>
            <w:vAlign w:val="bottom"/>
          </w:tcPr>
          <w:p w14:paraId="2BE08AE3" w14:textId="77777777" w:rsidR="00210E74" w:rsidRPr="00630664" w:rsidRDefault="00210E74" w:rsidP="005669B3">
            <w:pPr>
              <w:pStyle w:val="table-text"/>
              <w:jc w:val="center"/>
            </w:pPr>
            <w:r w:rsidRPr="00630664">
              <w:t>0.814</w:t>
            </w:r>
          </w:p>
        </w:tc>
      </w:tr>
    </w:tbl>
    <w:p w14:paraId="1DE2D1CA" w14:textId="77777777" w:rsidR="00210E74" w:rsidRDefault="00210E74" w:rsidP="00210E74">
      <w:pPr>
        <w:pStyle w:val="table-continued"/>
      </w:pPr>
      <w:r>
        <w:t>(continued)</w:t>
      </w:r>
    </w:p>
    <w:p w14:paraId="2196E975" w14:textId="77777777" w:rsidR="00210E74" w:rsidRDefault="00210E74" w:rsidP="00210E74">
      <w:pPr>
        <w:pStyle w:val="table-titlecontinued"/>
      </w:pPr>
      <w:r>
        <w:br w:type="page"/>
      </w:r>
      <w:bookmarkStart w:id="47" w:name="_Toc491334004"/>
      <w:bookmarkStart w:id="48" w:name="_Toc494384145"/>
      <w:r>
        <w:lastRenderedPageBreak/>
        <w:t>Table 2.</w:t>
      </w:r>
      <w:r>
        <w:tab/>
        <w:t>National Means on Patient-Mix Adjustment Factors (Average for the Two 2016 ICH CAHPS Semiannual Surveys) (continued)</w:t>
      </w:r>
      <w:bookmarkEnd w:id="47"/>
      <w:bookmarkEnd w:id="48"/>
    </w:p>
    <w:tbl>
      <w:tblPr>
        <w:tblW w:w="9360" w:type="dxa"/>
        <w:tblInd w:w="115"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210E74" w:rsidRPr="007B4AA9" w14:paraId="4456A2A1" w14:textId="77777777" w:rsidTr="005669B3">
        <w:trPr>
          <w:cantSplit/>
          <w:tblHeader/>
        </w:trPr>
        <w:tc>
          <w:tcPr>
            <w:tcW w:w="7297" w:type="dxa"/>
            <w:tcBorders>
              <w:top w:val="single" w:sz="12" w:space="0" w:color="auto"/>
            </w:tcBorders>
            <w:noWrap/>
            <w:vAlign w:val="bottom"/>
            <w:hideMark/>
          </w:tcPr>
          <w:p w14:paraId="3586F463" w14:textId="77777777" w:rsidR="00210E74" w:rsidRPr="007B4AA9" w:rsidRDefault="00210E74" w:rsidP="005669B3">
            <w:pPr>
              <w:pStyle w:val="table-headers"/>
              <w:ind w:left="132" w:hanging="132"/>
              <w:jc w:val="left"/>
            </w:pPr>
            <w:r w:rsidRPr="007B4AA9">
              <w:t>Patient Mix Characteristic</w:t>
            </w:r>
            <w:r w:rsidRPr="007B4AA9">
              <w:br/>
              <w:t>Patient Mix Level</w:t>
            </w:r>
          </w:p>
        </w:tc>
        <w:tc>
          <w:tcPr>
            <w:tcW w:w="2063" w:type="dxa"/>
            <w:tcBorders>
              <w:top w:val="single" w:sz="12" w:space="0" w:color="auto"/>
            </w:tcBorders>
            <w:vAlign w:val="bottom"/>
            <w:hideMark/>
          </w:tcPr>
          <w:p w14:paraId="155A4D5D" w14:textId="77777777" w:rsidR="00210E74" w:rsidRPr="007B4AA9" w:rsidRDefault="00210E74" w:rsidP="005669B3">
            <w:pPr>
              <w:pStyle w:val="table-headers"/>
            </w:pPr>
            <w:r w:rsidRPr="007B4AA9">
              <w:t>Mean</w:t>
            </w:r>
          </w:p>
        </w:tc>
      </w:tr>
      <w:tr w:rsidR="00210E74" w:rsidRPr="00846C44" w14:paraId="693058D6" w14:textId="77777777" w:rsidTr="005669B3">
        <w:trPr>
          <w:cantSplit/>
        </w:trPr>
        <w:tc>
          <w:tcPr>
            <w:tcW w:w="7297" w:type="dxa"/>
            <w:hideMark/>
          </w:tcPr>
          <w:p w14:paraId="4AA9DD05" w14:textId="77777777" w:rsidR="00210E74" w:rsidRDefault="00210E74" w:rsidP="005669B3">
            <w:pPr>
              <w:pStyle w:val="table-text"/>
            </w:pPr>
            <w:r>
              <w:t>Age</w:t>
            </w:r>
          </w:p>
          <w:p w14:paraId="7190DD2F" w14:textId="77777777" w:rsidR="00210E74" w:rsidRPr="00630664" w:rsidRDefault="00210E74" w:rsidP="005669B3">
            <w:pPr>
              <w:pStyle w:val="table-textindent"/>
            </w:pPr>
            <w:r w:rsidRPr="00630664">
              <w:t>18–44</w:t>
            </w:r>
          </w:p>
        </w:tc>
        <w:tc>
          <w:tcPr>
            <w:tcW w:w="2063" w:type="dxa"/>
            <w:vAlign w:val="bottom"/>
          </w:tcPr>
          <w:p w14:paraId="5D824224" w14:textId="77777777" w:rsidR="00210E74" w:rsidRPr="00630664" w:rsidRDefault="00210E74" w:rsidP="005669B3">
            <w:pPr>
              <w:pStyle w:val="table-text"/>
              <w:jc w:val="center"/>
            </w:pPr>
            <w:r w:rsidRPr="00630664">
              <w:t>0.064</w:t>
            </w:r>
          </w:p>
        </w:tc>
      </w:tr>
      <w:tr w:rsidR="00210E74" w:rsidRPr="00846C44" w14:paraId="7B4466A4" w14:textId="77777777" w:rsidTr="005669B3">
        <w:trPr>
          <w:cantSplit/>
        </w:trPr>
        <w:tc>
          <w:tcPr>
            <w:tcW w:w="7297" w:type="dxa"/>
            <w:hideMark/>
          </w:tcPr>
          <w:p w14:paraId="7ECCE9F2" w14:textId="77777777" w:rsidR="00210E74" w:rsidRPr="00630664" w:rsidRDefault="00210E74" w:rsidP="005669B3">
            <w:pPr>
              <w:pStyle w:val="table-textindent"/>
            </w:pPr>
            <w:r w:rsidRPr="00630664">
              <w:t>45–54</w:t>
            </w:r>
          </w:p>
        </w:tc>
        <w:tc>
          <w:tcPr>
            <w:tcW w:w="2063" w:type="dxa"/>
            <w:vAlign w:val="bottom"/>
          </w:tcPr>
          <w:p w14:paraId="1637F1D0" w14:textId="77777777" w:rsidR="00210E74" w:rsidRPr="00630664" w:rsidRDefault="00210E74" w:rsidP="005669B3">
            <w:pPr>
              <w:pStyle w:val="table-text"/>
              <w:jc w:val="center"/>
            </w:pPr>
            <w:r w:rsidRPr="00630664">
              <w:t>0.131</w:t>
            </w:r>
          </w:p>
        </w:tc>
      </w:tr>
      <w:tr w:rsidR="00210E74" w:rsidRPr="00846C44" w14:paraId="49B858F0" w14:textId="77777777" w:rsidTr="005669B3">
        <w:trPr>
          <w:cantSplit/>
        </w:trPr>
        <w:tc>
          <w:tcPr>
            <w:tcW w:w="7297" w:type="dxa"/>
            <w:hideMark/>
          </w:tcPr>
          <w:p w14:paraId="0A22969F" w14:textId="77777777" w:rsidR="00210E74" w:rsidRPr="00630664" w:rsidRDefault="00210E74" w:rsidP="005669B3">
            <w:pPr>
              <w:pStyle w:val="table-textindent"/>
            </w:pPr>
            <w:r w:rsidRPr="00630664">
              <w:t>55–64</w:t>
            </w:r>
          </w:p>
        </w:tc>
        <w:tc>
          <w:tcPr>
            <w:tcW w:w="2063" w:type="dxa"/>
            <w:vAlign w:val="bottom"/>
          </w:tcPr>
          <w:p w14:paraId="6BF8FABF" w14:textId="77777777" w:rsidR="00210E74" w:rsidRPr="00630664" w:rsidRDefault="00210E74" w:rsidP="005669B3">
            <w:pPr>
              <w:pStyle w:val="table-text"/>
              <w:jc w:val="center"/>
            </w:pPr>
            <w:r w:rsidRPr="00630664">
              <w:t>0.251</w:t>
            </w:r>
          </w:p>
        </w:tc>
      </w:tr>
      <w:tr w:rsidR="00210E74" w:rsidRPr="00846C44" w14:paraId="32742C9F" w14:textId="77777777" w:rsidTr="005669B3">
        <w:trPr>
          <w:cantSplit/>
        </w:trPr>
        <w:tc>
          <w:tcPr>
            <w:tcW w:w="7297" w:type="dxa"/>
            <w:hideMark/>
          </w:tcPr>
          <w:p w14:paraId="4038CA3A" w14:textId="77777777" w:rsidR="00210E74" w:rsidRPr="00630664" w:rsidRDefault="00210E74" w:rsidP="005669B3">
            <w:pPr>
              <w:pStyle w:val="table-textindent"/>
            </w:pPr>
            <w:r w:rsidRPr="00630664">
              <w:t>65–74</w:t>
            </w:r>
          </w:p>
        </w:tc>
        <w:tc>
          <w:tcPr>
            <w:tcW w:w="2063" w:type="dxa"/>
            <w:vAlign w:val="bottom"/>
          </w:tcPr>
          <w:p w14:paraId="5DB2E125" w14:textId="77777777" w:rsidR="00210E74" w:rsidRPr="00630664" w:rsidRDefault="00210E74" w:rsidP="005669B3">
            <w:pPr>
              <w:pStyle w:val="table-text"/>
              <w:jc w:val="center"/>
            </w:pPr>
            <w:r w:rsidRPr="00630664">
              <w:t>0.292</w:t>
            </w:r>
          </w:p>
        </w:tc>
      </w:tr>
      <w:tr w:rsidR="00210E74" w:rsidRPr="00846C44" w14:paraId="75B562FC" w14:textId="77777777" w:rsidTr="005669B3">
        <w:trPr>
          <w:cantSplit/>
        </w:trPr>
        <w:tc>
          <w:tcPr>
            <w:tcW w:w="7297" w:type="dxa"/>
            <w:hideMark/>
          </w:tcPr>
          <w:p w14:paraId="2DE0A3FC" w14:textId="77777777" w:rsidR="00210E74" w:rsidRPr="00630664" w:rsidRDefault="00210E74" w:rsidP="005669B3">
            <w:pPr>
              <w:pStyle w:val="table-textindent"/>
            </w:pPr>
            <w:r w:rsidRPr="00630664">
              <w:t>75+</w:t>
            </w:r>
          </w:p>
        </w:tc>
        <w:tc>
          <w:tcPr>
            <w:tcW w:w="2063" w:type="dxa"/>
            <w:vAlign w:val="bottom"/>
          </w:tcPr>
          <w:p w14:paraId="1DFFB452" w14:textId="77777777" w:rsidR="00210E74" w:rsidRPr="00630664" w:rsidRDefault="00210E74" w:rsidP="005669B3">
            <w:pPr>
              <w:pStyle w:val="table-text"/>
              <w:jc w:val="center"/>
            </w:pPr>
            <w:r w:rsidRPr="00630664">
              <w:t>0.262</w:t>
            </w:r>
          </w:p>
        </w:tc>
      </w:tr>
      <w:tr w:rsidR="00210E74" w:rsidRPr="00846C44" w14:paraId="64C4D697" w14:textId="77777777" w:rsidTr="005669B3">
        <w:trPr>
          <w:cantSplit/>
        </w:trPr>
        <w:tc>
          <w:tcPr>
            <w:tcW w:w="7297" w:type="dxa"/>
            <w:hideMark/>
          </w:tcPr>
          <w:p w14:paraId="4AA35C66" w14:textId="77777777" w:rsidR="00210E74" w:rsidRDefault="00210E74" w:rsidP="005669B3">
            <w:pPr>
              <w:pStyle w:val="table-text"/>
            </w:pPr>
            <w:r>
              <w:t>Gender</w:t>
            </w:r>
          </w:p>
          <w:p w14:paraId="781CA2D2" w14:textId="77777777" w:rsidR="00210E74" w:rsidRPr="00630664" w:rsidRDefault="00210E74" w:rsidP="005669B3">
            <w:pPr>
              <w:pStyle w:val="table-textindent"/>
            </w:pPr>
            <w:r w:rsidRPr="00630664">
              <w:t>Male</w:t>
            </w:r>
          </w:p>
        </w:tc>
        <w:tc>
          <w:tcPr>
            <w:tcW w:w="2063" w:type="dxa"/>
            <w:vAlign w:val="bottom"/>
          </w:tcPr>
          <w:p w14:paraId="7D9F5676" w14:textId="77777777" w:rsidR="00210E74" w:rsidRPr="00630664" w:rsidRDefault="00210E74" w:rsidP="005669B3">
            <w:pPr>
              <w:pStyle w:val="table-text"/>
              <w:jc w:val="center"/>
            </w:pPr>
            <w:r w:rsidRPr="00630664">
              <w:t>0.563</w:t>
            </w:r>
          </w:p>
        </w:tc>
      </w:tr>
      <w:tr w:rsidR="00210E74" w:rsidRPr="00846C44" w14:paraId="75EA5A29" w14:textId="77777777" w:rsidTr="005669B3">
        <w:trPr>
          <w:cantSplit/>
        </w:trPr>
        <w:tc>
          <w:tcPr>
            <w:tcW w:w="7297" w:type="dxa"/>
            <w:hideMark/>
          </w:tcPr>
          <w:p w14:paraId="6E694415" w14:textId="77777777" w:rsidR="00210E74" w:rsidRPr="00630664" w:rsidRDefault="00210E74" w:rsidP="005669B3">
            <w:pPr>
              <w:pStyle w:val="table-textindent"/>
            </w:pPr>
            <w:r w:rsidRPr="00630664">
              <w:t>Female</w:t>
            </w:r>
          </w:p>
        </w:tc>
        <w:tc>
          <w:tcPr>
            <w:tcW w:w="2063" w:type="dxa"/>
            <w:vAlign w:val="bottom"/>
          </w:tcPr>
          <w:p w14:paraId="5765C2AD" w14:textId="77777777" w:rsidR="00210E74" w:rsidRPr="00630664" w:rsidRDefault="00210E74" w:rsidP="005669B3">
            <w:pPr>
              <w:pStyle w:val="table-text"/>
              <w:jc w:val="center"/>
            </w:pPr>
            <w:r w:rsidRPr="00630664">
              <w:t>0.437</w:t>
            </w:r>
          </w:p>
        </w:tc>
      </w:tr>
      <w:tr w:rsidR="00210E74" w:rsidRPr="00846C44" w14:paraId="3CC4CBA0" w14:textId="77777777" w:rsidTr="005669B3">
        <w:trPr>
          <w:cantSplit/>
        </w:trPr>
        <w:tc>
          <w:tcPr>
            <w:tcW w:w="7297" w:type="dxa"/>
            <w:hideMark/>
          </w:tcPr>
          <w:p w14:paraId="3A91C5A4" w14:textId="77777777" w:rsidR="00210E74" w:rsidRDefault="00210E74" w:rsidP="005669B3">
            <w:pPr>
              <w:pStyle w:val="table-text"/>
            </w:pPr>
            <w:r>
              <w:t>Education</w:t>
            </w:r>
          </w:p>
          <w:p w14:paraId="0557EA0A" w14:textId="77777777" w:rsidR="00210E74" w:rsidRPr="00630664" w:rsidRDefault="00210E74" w:rsidP="005669B3">
            <w:pPr>
              <w:pStyle w:val="table-textindent"/>
            </w:pPr>
            <w:r w:rsidRPr="00630664">
              <w:t>8th Grade or Less</w:t>
            </w:r>
          </w:p>
        </w:tc>
        <w:tc>
          <w:tcPr>
            <w:tcW w:w="2063" w:type="dxa"/>
            <w:vAlign w:val="bottom"/>
          </w:tcPr>
          <w:p w14:paraId="18BA43B9" w14:textId="77777777" w:rsidR="00210E74" w:rsidRPr="00630664" w:rsidRDefault="00210E74" w:rsidP="005669B3">
            <w:pPr>
              <w:pStyle w:val="table-text"/>
              <w:jc w:val="center"/>
            </w:pPr>
            <w:r w:rsidRPr="00630664">
              <w:t>0.118</w:t>
            </w:r>
          </w:p>
        </w:tc>
      </w:tr>
      <w:tr w:rsidR="00210E74" w:rsidRPr="00846C44" w14:paraId="19BBFB84" w14:textId="77777777" w:rsidTr="005669B3">
        <w:trPr>
          <w:cantSplit/>
        </w:trPr>
        <w:tc>
          <w:tcPr>
            <w:tcW w:w="7297" w:type="dxa"/>
            <w:hideMark/>
          </w:tcPr>
          <w:p w14:paraId="64C49489" w14:textId="77777777" w:rsidR="00210E74" w:rsidRPr="00630664" w:rsidRDefault="00210E74" w:rsidP="005669B3">
            <w:pPr>
              <w:pStyle w:val="table-textindent"/>
            </w:pPr>
            <w:r w:rsidRPr="00630664">
              <w:t>Some High School</w:t>
            </w:r>
          </w:p>
        </w:tc>
        <w:tc>
          <w:tcPr>
            <w:tcW w:w="2063" w:type="dxa"/>
            <w:vAlign w:val="bottom"/>
          </w:tcPr>
          <w:p w14:paraId="64833CAF" w14:textId="77777777" w:rsidR="00210E74" w:rsidRPr="00630664" w:rsidRDefault="00210E74" w:rsidP="005669B3">
            <w:pPr>
              <w:pStyle w:val="table-text"/>
              <w:jc w:val="center"/>
            </w:pPr>
            <w:r w:rsidRPr="00630664">
              <w:t>0.143</w:t>
            </w:r>
          </w:p>
        </w:tc>
      </w:tr>
      <w:tr w:rsidR="00210E74" w:rsidRPr="00846C44" w14:paraId="0E8AE4B6" w14:textId="77777777" w:rsidTr="005669B3">
        <w:trPr>
          <w:cantSplit/>
        </w:trPr>
        <w:tc>
          <w:tcPr>
            <w:tcW w:w="7297" w:type="dxa"/>
            <w:hideMark/>
          </w:tcPr>
          <w:p w14:paraId="5BACA6AE" w14:textId="77777777" w:rsidR="00210E74" w:rsidRPr="00630664" w:rsidRDefault="00210E74" w:rsidP="005669B3">
            <w:pPr>
              <w:pStyle w:val="table-textindent"/>
            </w:pPr>
            <w:r w:rsidRPr="00630664">
              <w:t>High School</w:t>
            </w:r>
          </w:p>
        </w:tc>
        <w:tc>
          <w:tcPr>
            <w:tcW w:w="2063" w:type="dxa"/>
            <w:vAlign w:val="bottom"/>
          </w:tcPr>
          <w:p w14:paraId="0983561A" w14:textId="77777777" w:rsidR="00210E74" w:rsidRPr="00630664" w:rsidRDefault="00210E74" w:rsidP="005669B3">
            <w:pPr>
              <w:pStyle w:val="table-text"/>
              <w:jc w:val="center"/>
            </w:pPr>
            <w:r w:rsidRPr="00630664">
              <w:t>0.336</w:t>
            </w:r>
          </w:p>
        </w:tc>
      </w:tr>
      <w:tr w:rsidR="00210E74" w:rsidRPr="00846C44" w14:paraId="2A297385" w14:textId="77777777" w:rsidTr="005669B3">
        <w:trPr>
          <w:cantSplit/>
        </w:trPr>
        <w:tc>
          <w:tcPr>
            <w:tcW w:w="7297" w:type="dxa"/>
            <w:hideMark/>
          </w:tcPr>
          <w:p w14:paraId="0174D59D" w14:textId="77777777" w:rsidR="00210E74" w:rsidRPr="00630664" w:rsidRDefault="00210E74" w:rsidP="005669B3">
            <w:pPr>
              <w:pStyle w:val="table-textindent"/>
            </w:pPr>
            <w:r w:rsidRPr="00630664">
              <w:t>Some College</w:t>
            </w:r>
          </w:p>
        </w:tc>
        <w:tc>
          <w:tcPr>
            <w:tcW w:w="2063" w:type="dxa"/>
            <w:vAlign w:val="bottom"/>
          </w:tcPr>
          <w:p w14:paraId="7A33A40D" w14:textId="77777777" w:rsidR="00210E74" w:rsidRPr="00630664" w:rsidRDefault="00210E74" w:rsidP="005669B3">
            <w:pPr>
              <w:pStyle w:val="table-text"/>
              <w:jc w:val="center"/>
            </w:pPr>
            <w:r w:rsidRPr="00630664">
              <w:t>0.258</w:t>
            </w:r>
          </w:p>
        </w:tc>
      </w:tr>
      <w:tr w:rsidR="00210E74" w:rsidRPr="00846C44" w14:paraId="6BE394DF" w14:textId="77777777" w:rsidTr="005669B3">
        <w:trPr>
          <w:cantSplit/>
        </w:trPr>
        <w:tc>
          <w:tcPr>
            <w:tcW w:w="7297" w:type="dxa"/>
            <w:hideMark/>
          </w:tcPr>
          <w:p w14:paraId="134190CF" w14:textId="77777777" w:rsidR="00210E74" w:rsidRPr="00630664" w:rsidRDefault="00210E74" w:rsidP="005669B3">
            <w:pPr>
              <w:pStyle w:val="table-textindent"/>
            </w:pPr>
            <w:r w:rsidRPr="00630664">
              <w:t>4-year Degree</w:t>
            </w:r>
          </w:p>
        </w:tc>
        <w:tc>
          <w:tcPr>
            <w:tcW w:w="2063" w:type="dxa"/>
            <w:vAlign w:val="bottom"/>
          </w:tcPr>
          <w:p w14:paraId="555D005B" w14:textId="77777777" w:rsidR="00210E74" w:rsidRPr="00630664" w:rsidRDefault="00210E74" w:rsidP="005669B3">
            <w:pPr>
              <w:pStyle w:val="table-text"/>
              <w:jc w:val="center"/>
            </w:pPr>
            <w:r w:rsidRPr="00630664">
              <w:t>0.074</w:t>
            </w:r>
          </w:p>
        </w:tc>
      </w:tr>
      <w:tr w:rsidR="00210E74" w:rsidRPr="00846C44" w14:paraId="042E5CB9" w14:textId="77777777" w:rsidTr="005669B3">
        <w:trPr>
          <w:cantSplit/>
        </w:trPr>
        <w:tc>
          <w:tcPr>
            <w:tcW w:w="7297" w:type="dxa"/>
            <w:hideMark/>
          </w:tcPr>
          <w:p w14:paraId="14D32BD8" w14:textId="77777777" w:rsidR="00210E74" w:rsidRPr="00630664" w:rsidRDefault="00210E74" w:rsidP="005669B3">
            <w:pPr>
              <w:pStyle w:val="table-textindent"/>
            </w:pPr>
            <w:r w:rsidRPr="00630664">
              <w:t>More than 4-year college</w:t>
            </w:r>
          </w:p>
        </w:tc>
        <w:tc>
          <w:tcPr>
            <w:tcW w:w="2063" w:type="dxa"/>
            <w:vAlign w:val="bottom"/>
          </w:tcPr>
          <w:p w14:paraId="0445C8A0" w14:textId="77777777" w:rsidR="00210E74" w:rsidRPr="00630664" w:rsidRDefault="00210E74" w:rsidP="005669B3">
            <w:pPr>
              <w:pStyle w:val="table-text"/>
              <w:jc w:val="center"/>
            </w:pPr>
            <w:r w:rsidRPr="00630664">
              <w:t>0.071</w:t>
            </w:r>
          </w:p>
        </w:tc>
      </w:tr>
      <w:tr w:rsidR="00210E74" w:rsidRPr="00846C44" w14:paraId="14891EFC" w14:textId="77777777" w:rsidTr="005669B3">
        <w:trPr>
          <w:cantSplit/>
        </w:trPr>
        <w:tc>
          <w:tcPr>
            <w:tcW w:w="7297" w:type="dxa"/>
            <w:hideMark/>
          </w:tcPr>
          <w:p w14:paraId="01A7DA56" w14:textId="77777777" w:rsidR="00210E74" w:rsidRDefault="00210E74" w:rsidP="005669B3">
            <w:pPr>
              <w:pStyle w:val="table-text"/>
            </w:pPr>
            <w:r>
              <w:t>Years on Dialysis</w:t>
            </w:r>
          </w:p>
          <w:p w14:paraId="1F6FC067" w14:textId="77777777" w:rsidR="00210E74" w:rsidRPr="00630664" w:rsidRDefault="00210E74" w:rsidP="005669B3">
            <w:pPr>
              <w:pStyle w:val="table-textindent"/>
            </w:pPr>
            <w:r w:rsidRPr="00630664">
              <w:t>1 Year</w:t>
            </w:r>
          </w:p>
        </w:tc>
        <w:tc>
          <w:tcPr>
            <w:tcW w:w="2063" w:type="dxa"/>
            <w:vAlign w:val="bottom"/>
          </w:tcPr>
          <w:p w14:paraId="1D34FAE0" w14:textId="77777777" w:rsidR="00210E74" w:rsidRPr="00630664" w:rsidRDefault="00210E74" w:rsidP="005669B3">
            <w:pPr>
              <w:pStyle w:val="table-text"/>
              <w:jc w:val="center"/>
            </w:pPr>
            <w:r w:rsidRPr="00630664">
              <w:t>0.180</w:t>
            </w:r>
          </w:p>
        </w:tc>
      </w:tr>
      <w:tr w:rsidR="00210E74" w:rsidRPr="00846C44" w14:paraId="0A3AFBE6" w14:textId="77777777" w:rsidTr="005669B3">
        <w:trPr>
          <w:cantSplit/>
        </w:trPr>
        <w:tc>
          <w:tcPr>
            <w:tcW w:w="7297" w:type="dxa"/>
            <w:hideMark/>
          </w:tcPr>
          <w:p w14:paraId="6B765CD5" w14:textId="77777777" w:rsidR="00210E74" w:rsidRPr="00630664" w:rsidRDefault="00210E74" w:rsidP="005669B3">
            <w:pPr>
              <w:pStyle w:val="table-textindent"/>
            </w:pPr>
            <w:r w:rsidRPr="00630664">
              <w:t>2 Years</w:t>
            </w:r>
          </w:p>
        </w:tc>
        <w:tc>
          <w:tcPr>
            <w:tcW w:w="2063" w:type="dxa"/>
            <w:vAlign w:val="bottom"/>
          </w:tcPr>
          <w:p w14:paraId="36D4512D" w14:textId="77777777" w:rsidR="00210E74" w:rsidRPr="00630664" w:rsidRDefault="00210E74" w:rsidP="005669B3">
            <w:pPr>
              <w:pStyle w:val="table-text"/>
              <w:jc w:val="center"/>
            </w:pPr>
            <w:r w:rsidRPr="00630664">
              <w:t>0.193</w:t>
            </w:r>
          </w:p>
        </w:tc>
      </w:tr>
      <w:tr w:rsidR="00210E74" w:rsidRPr="00846C44" w14:paraId="12FAFC66" w14:textId="77777777" w:rsidTr="005669B3">
        <w:trPr>
          <w:cantSplit/>
        </w:trPr>
        <w:tc>
          <w:tcPr>
            <w:tcW w:w="7297" w:type="dxa"/>
            <w:hideMark/>
          </w:tcPr>
          <w:p w14:paraId="13DE6426" w14:textId="77777777" w:rsidR="00210E74" w:rsidRPr="00630664" w:rsidRDefault="00210E74" w:rsidP="005669B3">
            <w:pPr>
              <w:pStyle w:val="table-textindent"/>
            </w:pPr>
            <w:r w:rsidRPr="00630664">
              <w:t>3–4 Years</w:t>
            </w:r>
          </w:p>
        </w:tc>
        <w:tc>
          <w:tcPr>
            <w:tcW w:w="2063" w:type="dxa"/>
            <w:vAlign w:val="bottom"/>
          </w:tcPr>
          <w:p w14:paraId="55B4C51E" w14:textId="77777777" w:rsidR="00210E74" w:rsidRPr="00630664" w:rsidRDefault="00210E74" w:rsidP="005669B3">
            <w:pPr>
              <w:pStyle w:val="table-text"/>
              <w:jc w:val="center"/>
            </w:pPr>
            <w:r w:rsidRPr="00630664">
              <w:t>0.262</w:t>
            </w:r>
          </w:p>
        </w:tc>
      </w:tr>
      <w:tr w:rsidR="00210E74" w:rsidRPr="00846C44" w14:paraId="73B076C7" w14:textId="77777777" w:rsidTr="005669B3">
        <w:trPr>
          <w:cantSplit/>
        </w:trPr>
        <w:tc>
          <w:tcPr>
            <w:tcW w:w="7297" w:type="dxa"/>
            <w:hideMark/>
          </w:tcPr>
          <w:p w14:paraId="41B18921" w14:textId="77777777" w:rsidR="00210E74" w:rsidRPr="00630664" w:rsidRDefault="00210E74" w:rsidP="005669B3">
            <w:pPr>
              <w:pStyle w:val="table-textindent"/>
            </w:pPr>
            <w:r w:rsidRPr="00630664">
              <w:t>5–7 Years</w:t>
            </w:r>
          </w:p>
        </w:tc>
        <w:tc>
          <w:tcPr>
            <w:tcW w:w="2063" w:type="dxa"/>
            <w:vAlign w:val="bottom"/>
          </w:tcPr>
          <w:p w14:paraId="52E69A0B" w14:textId="77777777" w:rsidR="00210E74" w:rsidRPr="00630664" w:rsidRDefault="00210E74" w:rsidP="005669B3">
            <w:pPr>
              <w:pStyle w:val="table-text"/>
              <w:jc w:val="center"/>
            </w:pPr>
            <w:r w:rsidRPr="00630664">
              <w:t>0.208</w:t>
            </w:r>
          </w:p>
        </w:tc>
      </w:tr>
      <w:tr w:rsidR="00210E74" w:rsidRPr="00846C44" w14:paraId="269D522A" w14:textId="77777777" w:rsidTr="005669B3">
        <w:trPr>
          <w:cantSplit/>
        </w:trPr>
        <w:tc>
          <w:tcPr>
            <w:tcW w:w="7297" w:type="dxa"/>
            <w:tcBorders>
              <w:bottom w:val="single" w:sz="12" w:space="0" w:color="auto"/>
            </w:tcBorders>
            <w:hideMark/>
          </w:tcPr>
          <w:p w14:paraId="53C9A7E1" w14:textId="77777777" w:rsidR="00210E74" w:rsidRPr="00630664" w:rsidRDefault="00210E74" w:rsidP="005669B3">
            <w:pPr>
              <w:pStyle w:val="table-textindent"/>
            </w:pPr>
            <w:r w:rsidRPr="00630664">
              <w:t>8+ Years</w:t>
            </w:r>
          </w:p>
        </w:tc>
        <w:tc>
          <w:tcPr>
            <w:tcW w:w="2063" w:type="dxa"/>
            <w:tcBorders>
              <w:bottom w:val="single" w:sz="12" w:space="0" w:color="auto"/>
            </w:tcBorders>
            <w:vAlign w:val="bottom"/>
          </w:tcPr>
          <w:p w14:paraId="7A3A38AE" w14:textId="77777777" w:rsidR="00210E74" w:rsidRPr="00630664" w:rsidRDefault="00210E74" w:rsidP="005669B3">
            <w:pPr>
              <w:pStyle w:val="table-text"/>
              <w:jc w:val="center"/>
            </w:pPr>
            <w:r w:rsidRPr="00630664">
              <w:t>0.157</w:t>
            </w:r>
          </w:p>
        </w:tc>
      </w:tr>
    </w:tbl>
    <w:p w14:paraId="7C65DEE9" w14:textId="77777777" w:rsidR="00210E74" w:rsidRDefault="00210E74" w:rsidP="00210E74">
      <w:pPr>
        <w:pStyle w:val="table-sourcestd"/>
      </w:pPr>
    </w:p>
    <w:p w14:paraId="6B257FB0" w14:textId="77777777" w:rsidR="00210E74" w:rsidRDefault="00210E74" w:rsidP="00210E74">
      <w:pPr>
        <w:keepNext/>
        <w:autoSpaceDE w:val="0"/>
        <w:autoSpaceDN w:val="0"/>
        <w:adjustRightInd w:val="0"/>
        <w:outlineLvl w:val="0"/>
        <w:rPr>
          <w:szCs w:val="24"/>
        </w:rPr>
        <w:sectPr w:rsidR="00210E74">
          <w:pgSz w:w="12240" w:h="15840" w:code="1"/>
          <w:pgMar w:top="1440" w:right="1440" w:bottom="1440" w:left="1440" w:header="720" w:footer="720" w:gutter="0"/>
          <w:pgBorders w:offsetFrom="page">
            <w:top w:val="single" w:sz="12" w:space="0" w:color="auto"/>
            <w:left w:val="single" w:sz="12" w:space="0" w:color="auto"/>
            <w:bottom w:val="single" w:sz="12" w:space="0" w:color="auto"/>
            <w:right w:val="single" w:sz="12" w:space="0" w:color="auto"/>
          </w:pgBorders>
          <w:cols w:space="720"/>
        </w:sectPr>
      </w:pPr>
    </w:p>
    <w:p w14:paraId="18A06446" w14:textId="77777777" w:rsidR="00210E74" w:rsidRDefault="00210E74" w:rsidP="00210E74">
      <w:pPr>
        <w:pStyle w:val="app-heading1"/>
        <w:rPr>
          <w:rFonts w:hint="eastAsia"/>
        </w:rPr>
      </w:pPr>
      <w:bookmarkStart w:id="49" w:name="_Toc491334005"/>
      <w:bookmarkStart w:id="50" w:name="_Toc494384146"/>
      <w:bookmarkStart w:id="51" w:name="_Toc497218987"/>
      <w:r>
        <w:lastRenderedPageBreak/>
        <w:t>Appendix B:</w:t>
      </w:r>
      <w:r>
        <w:br/>
        <w:t>Additional Information on the Clustering Method Used to Create ICH CAHPS Star Ratings</w:t>
      </w:r>
      <w:bookmarkEnd w:id="49"/>
      <w:bookmarkEnd w:id="50"/>
      <w:bookmarkEnd w:id="51"/>
    </w:p>
    <w:p w14:paraId="5C33831B" w14:textId="77777777" w:rsidR="00210E74" w:rsidRDefault="00210E74" w:rsidP="00210E74">
      <w:pPr>
        <w:pStyle w:val="BodyText"/>
        <w:autoSpaceDE w:val="0"/>
        <w:autoSpaceDN w:val="0"/>
        <w:adjustRightInd w:val="0"/>
        <w:rPr>
          <w:rFonts w:eastAsiaTheme="minorEastAsia"/>
          <w:szCs w:val="24"/>
        </w:rPr>
      </w:pPr>
      <w:r>
        <w:rPr>
          <w:rFonts w:eastAsiaTheme="minorEastAsia"/>
          <w:szCs w:val="24"/>
        </w:rPr>
        <w:t>The sequence of steps taken in the clustering methodology to develop the six ICH CAHPS star ratings is provided below. For each ICH CAHPS linear measure, the clustering method:</w:t>
      </w:r>
    </w:p>
    <w:p w14:paraId="3F398D0F" w14:textId="77777777" w:rsidR="00210E74" w:rsidRDefault="00210E74" w:rsidP="00210E74">
      <w:pPr>
        <w:pStyle w:val="numbers"/>
      </w:pPr>
      <w:r>
        <w:t>1.</w:t>
      </w:r>
      <w:r>
        <w:tab/>
        <w:t>Produces the individual measure distance matrix.</w:t>
      </w:r>
    </w:p>
    <w:p w14:paraId="1DE541A8" w14:textId="77777777" w:rsidR="00210E74" w:rsidRDefault="00210E74" w:rsidP="00210E74">
      <w:pPr>
        <w:pStyle w:val="numbers"/>
      </w:pPr>
      <w:r>
        <w:t>2.</w:t>
      </w:r>
      <w:r>
        <w:tab/>
        <w:t>Groups the measure scores into an initial set of clusters.</w:t>
      </w:r>
    </w:p>
    <w:p w14:paraId="7F148F43" w14:textId="77777777" w:rsidR="00210E74" w:rsidRDefault="00210E74" w:rsidP="00210E74">
      <w:pPr>
        <w:pStyle w:val="numbers"/>
      </w:pPr>
      <w:r>
        <w:t>3.</w:t>
      </w:r>
      <w:r>
        <w:tab/>
        <w:t>Selects the final set of clusters.</w:t>
      </w:r>
    </w:p>
    <w:p w14:paraId="52C8F73F" w14:textId="77777777" w:rsidR="00210E74" w:rsidRDefault="00210E74" w:rsidP="00210E74">
      <w:pPr>
        <w:pStyle w:val="app-heading2"/>
      </w:pPr>
      <w:bookmarkStart w:id="52" w:name="_Toc491334007"/>
      <w:bookmarkStart w:id="53" w:name="_Toc494384148"/>
      <w:r>
        <w:t>Step 1. Produce the individual measure distance matrix.</w:t>
      </w:r>
      <w:bookmarkEnd w:id="52"/>
      <w:bookmarkEnd w:id="53"/>
    </w:p>
    <w:p w14:paraId="02C21A1C" w14:textId="77777777" w:rsidR="00210E74" w:rsidRDefault="00210E74" w:rsidP="00210E74">
      <w:pPr>
        <w:pStyle w:val="BodyText"/>
        <w:autoSpaceDE w:val="0"/>
        <w:autoSpaceDN w:val="0"/>
        <w:adjustRightInd w:val="0"/>
        <w:rPr>
          <w:rFonts w:eastAsiaTheme="minorEastAsia"/>
          <w:szCs w:val="24"/>
        </w:rPr>
      </w:pPr>
      <w:r>
        <w:rPr>
          <w:rFonts w:eastAsiaTheme="minorEastAsia"/>
          <w:szCs w:val="24"/>
        </w:rPr>
        <w:t xml:space="preserve">For each pair of ICH facilities </w:t>
      </w:r>
      <w:r>
        <w:rPr>
          <w:rFonts w:eastAsiaTheme="minorEastAsia"/>
          <w:i/>
          <w:szCs w:val="24"/>
        </w:rPr>
        <w:t>j</w:t>
      </w:r>
      <w:r>
        <w:rPr>
          <w:rFonts w:eastAsiaTheme="minorEastAsia"/>
          <w:szCs w:val="24"/>
        </w:rPr>
        <w:t xml:space="preserve"> and </w:t>
      </w:r>
      <w:r>
        <w:rPr>
          <w:rFonts w:eastAsiaTheme="minorEastAsia"/>
          <w:i/>
          <w:szCs w:val="24"/>
        </w:rPr>
        <w:t>k</w:t>
      </w:r>
      <w:r>
        <w:rPr>
          <w:rFonts w:eastAsiaTheme="minorEastAsia"/>
          <w:szCs w:val="24"/>
        </w:rPr>
        <w:t xml:space="preserve"> (</w:t>
      </w:r>
      <w:r>
        <w:rPr>
          <w:rFonts w:eastAsiaTheme="minorEastAsia"/>
          <w:i/>
          <w:szCs w:val="24"/>
        </w:rPr>
        <w:t>j</w:t>
      </w:r>
      <w:r>
        <w:rPr>
          <w:rFonts w:eastAsiaTheme="minorEastAsia"/>
          <w:szCs w:val="24"/>
        </w:rPr>
        <w:t xml:space="preserve">&gt; = </w:t>
      </w:r>
      <w:r>
        <w:rPr>
          <w:rFonts w:eastAsiaTheme="minorEastAsia"/>
          <w:i/>
          <w:szCs w:val="24"/>
        </w:rPr>
        <w:t>k</w:t>
      </w:r>
      <w:r>
        <w:rPr>
          <w:rFonts w:eastAsiaTheme="minorEastAsia"/>
          <w:szCs w:val="24"/>
        </w:rPr>
        <w:t xml:space="preserve">) among the </w:t>
      </w:r>
      <w:r>
        <w:rPr>
          <w:rFonts w:eastAsiaTheme="minorEastAsia"/>
          <w:i/>
          <w:szCs w:val="24"/>
        </w:rPr>
        <w:t>n</w:t>
      </w:r>
      <w:r>
        <w:rPr>
          <w:rFonts w:eastAsiaTheme="minorEastAsia"/>
          <w:szCs w:val="24"/>
        </w:rPr>
        <w:t xml:space="preserve"> ICH facilities with measure score data, the Euclidian distance of the measure scores (e.g., the absolute value of the difference between the two measure scores) is computed. The clustering method then enters this distance in row </w:t>
      </w:r>
      <w:r>
        <w:rPr>
          <w:rFonts w:eastAsiaTheme="minorEastAsia"/>
          <w:i/>
          <w:szCs w:val="24"/>
        </w:rPr>
        <w:t>j</w:t>
      </w:r>
      <w:r>
        <w:rPr>
          <w:rFonts w:eastAsiaTheme="minorEastAsia"/>
          <w:szCs w:val="24"/>
        </w:rPr>
        <w:t xml:space="preserve"> and column </w:t>
      </w:r>
      <w:r>
        <w:rPr>
          <w:rFonts w:eastAsiaTheme="minorEastAsia"/>
          <w:i/>
          <w:szCs w:val="24"/>
        </w:rPr>
        <w:t>k</w:t>
      </w:r>
      <w:r>
        <w:rPr>
          <w:rFonts w:eastAsiaTheme="minorEastAsia"/>
          <w:szCs w:val="24"/>
        </w:rPr>
        <w:t xml:space="preserve"> of a distance matrix with </w:t>
      </w:r>
      <w:r>
        <w:rPr>
          <w:rFonts w:eastAsiaTheme="minorEastAsia"/>
          <w:i/>
          <w:szCs w:val="24"/>
        </w:rPr>
        <w:t>n</w:t>
      </w:r>
      <w:r>
        <w:rPr>
          <w:rFonts w:eastAsiaTheme="minorEastAsia"/>
          <w:szCs w:val="24"/>
        </w:rPr>
        <w:t xml:space="preserve"> rows and </w:t>
      </w:r>
      <w:r>
        <w:rPr>
          <w:rFonts w:eastAsiaTheme="minorEastAsia"/>
          <w:i/>
          <w:szCs w:val="24"/>
        </w:rPr>
        <w:t>n</w:t>
      </w:r>
      <w:r>
        <w:rPr>
          <w:rFonts w:eastAsiaTheme="minorEastAsia"/>
          <w:szCs w:val="24"/>
        </w:rPr>
        <w:t xml:space="preserve"> columns. This matrix is produced using the DISTANCE procedure in SAS.</w:t>
      </w:r>
    </w:p>
    <w:p w14:paraId="6B705F10" w14:textId="77777777" w:rsidR="00210E74" w:rsidRDefault="00210E74" w:rsidP="00210E74">
      <w:pPr>
        <w:pStyle w:val="app-heading2"/>
      </w:pPr>
      <w:bookmarkStart w:id="54" w:name="_Toc491334008"/>
      <w:bookmarkStart w:id="55" w:name="_Toc494384149"/>
      <w:r>
        <w:t>Step 2. Create a tree of cluster assignments.</w:t>
      </w:r>
      <w:bookmarkEnd w:id="54"/>
      <w:bookmarkEnd w:id="55"/>
    </w:p>
    <w:p w14:paraId="50FBE02D" w14:textId="77777777" w:rsidR="00210E74" w:rsidRDefault="00210E74" w:rsidP="00210E74">
      <w:pPr>
        <w:pStyle w:val="BodyText"/>
        <w:autoSpaceDE w:val="0"/>
        <w:autoSpaceDN w:val="0"/>
        <w:adjustRightInd w:val="0"/>
        <w:rPr>
          <w:rFonts w:eastAsiaTheme="minorEastAsia"/>
          <w:szCs w:val="24"/>
        </w:rPr>
      </w:pPr>
      <w:r>
        <w:rPr>
          <w:rFonts w:eastAsiaTheme="minorEastAsia"/>
          <w:szCs w:val="24"/>
        </w:rPr>
        <w:t>The distance matrix calculated in Step 1 is the input to the clustering procedure. The stored distance algorithm is implemented to compute cluster assignments. The following process is implemented by the CLUSTER procedure in SAS:</w:t>
      </w:r>
    </w:p>
    <w:p w14:paraId="69D3F663" w14:textId="77777777" w:rsidR="00210E74" w:rsidRDefault="00210E74" w:rsidP="00210E74">
      <w:pPr>
        <w:pStyle w:val="numbers"/>
      </w:pPr>
      <w:r>
        <w:t>a.</w:t>
      </w:r>
      <w:r>
        <w:tab/>
        <w:t>The input measure score distances are squared.</w:t>
      </w:r>
    </w:p>
    <w:p w14:paraId="03A01E38" w14:textId="77777777" w:rsidR="00210E74" w:rsidRDefault="00210E74" w:rsidP="00210E74">
      <w:pPr>
        <w:pStyle w:val="numbers"/>
      </w:pPr>
      <w:r>
        <w:t>b.</w:t>
      </w:r>
      <w:r>
        <w:tab/>
        <w:t>The clusters are initialized by assigning each ICH facility to its own cluster.</w:t>
      </w:r>
    </w:p>
    <w:p w14:paraId="30B3ED30" w14:textId="77777777" w:rsidR="00210E74" w:rsidRDefault="00210E74" w:rsidP="00210E74">
      <w:pPr>
        <w:pStyle w:val="numbers"/>
      </w:pPr>
      <w:r>
        <w:t>c.</w:t>
      </w:r>
      <w:r>
        <w:tab/>
        <w:t>To determine which pair of clusters to merge, Ward’s minimum variance method is used to separate the variance of the measure scores into within- and between-cluster sum of squares components.</w:t>
      </w:r>
    </w:p>
    <w:p w14:paraId="019F0FAD" w14:textId="77777777" w:rsidR="00210E74" w:rsidRDefault="00210E74" w:rsidP="00210E74">
      <w:pPr>
        <w:pStyle w:val="numbers"/>
      </w:pPr>
      <w:r>
        <w:t>d.</w:t>
      </w:r>
      <w:r>
        <w:tab/>
        <w:t>From the existing clusters, two clusters are selected for merging to minimize the within-cluster sum of squares over all possible sets of clusters that might result from a merge.</w:t>
      </w:r>
    </w:p>
    <w:p w14:paraId="4E290D07" w14:textId="77777777" w:rsidR="00210E74" w:rsidRDefault="00210E74" w:rsidP="00210E74">
      <w:pPr>
        <w:pStyle w:val="numbers"/>
      </w:pPr>
      <w:r>
        <w:t>e.</w:t>
      </w:r>
      <w:r>
        <w:tab/>
        <w:t>Steps b and c are repeated to reduce the number of clusters by one until a single cluster containing all ICH facilities results.</w:t>
      </w:r>
    </w:p>
    <w:p w14:paraId="17E5B3B1" w14:textId="77777777" w:rsidR="00210E74" w:rsidRDefault="00210E74" w:rsidP="00210E74">
      <w:pPr>
        <w:pStyle w:val="app-heading2"/>
      </w:pPr>
      <w:bookmarkStart w:id="56" w:name="_Toc491334009"/>
      <w:bookmarkStart w:id="57" w:name="_Toc494384150"/>
      <w:r>
        <w:t>Step 3. Select the final set of clusters from the tree of cluster assignments.</w:t>
      </w:r>
      <w:bookmarkEnd w:id="56"/>
      <w:bookmarkEnd w:id="57"/>
    </w:p>
    <w:p w14:paraId="622B4CB0" w14:textId="77777777" w:rsidR="00210E74" w:rsidRDefault="00210E74" w:rsidP="00210E74">
      <w:pPr>
        <w:pStyle w:val="BodyText"/>
        <w:autoSpaceDE w:val="0"/>
        <w:autoSpaceDN w:val="0"/>
        <w:adjustRightInd w:val="0"/>
        <w:rPr>
          <w:rFonts w:eastAsiaTheme="minorEastAsia"/>
          <w:szCs w:val="24"/>
        </w:rPr>
      </w:pPr>
      <w:r>
        <w:rPr>
          <w:rFonts w:eastAsiaTheme="minorEastAsia"/>
          <w:szCs w:val="24"/>
        </w:rPr>
        <w:t>The process outlined in Step 2 produces a tree of cluster assignments from which the five final clusters (which represent the five-star rating categories) are selected using the TREE procedure in SAS.</w:t>
      </w:r>
    </w:p>
    <w:p w14:paraId="3229EF67" w14:textId="77777777" w:rsidR="00210E74" w:rsidRDefault="00210E74" w:rsidP="00210E74">
      <w:pPr>
        <w:autoSpaceDE w:val="0"/>
        <w:autoSpaceDN w:val="0"/>
        <w:adjustRightInd w:val="0"/>
        <w:rPr>
          <w:szCs w:val="24"/>
        </w:rPr>
        <w:sectPr w:rsidR="00210E74">
          <w:pgSz w:w="12240" w:h="15840" w:code="1"/>
          <w:pgMar w:top="1440" w:right="1440" w:bottom="1440" w:left="1440" w:header="720" w:footer="720" w:gutter="0"/>
          <w:pgBorders w:offsetFrom="page">
            <w:top w:val="single" w:sz="12" w:space="0" w:color="auto"/>
            <w:left w:val="single" w:sz="12" w:space="0" w:color="auto"/>
            <w:bottom w:val="single" w:sz="12" w:space="0" w:color="auto"/>
            <w:right w:val="single" w:sz="12" w:space="0" w:color="auto"/>
          </w:pgBorders>
          <w:cols w:space="720"/>
        </w:sectPr>
      </w:pPr>
    </w:p>
    <w:p w14:paraId="0DD218BD" w14:textId="77777777" w:rsidR="00210E74" w:rsidRDefault="00210E74" w:rsidP="00210E74">
      <w:pPr>
        <w:pStyle w:val="app-heading1"/>
        <w:rPr>
          <w:rFonts w:hint="eastAsia"/>
        </w:rPr>
      </w:pPr>
      <w:bookmarkStart w:id="58" w:name="_Toc491334010"/>
      <w:bookmarkStart w:id="59" w:name="_Toc494384151"/>
      <w:bookmarkStart w:id="60" w:name="_Toc497218988"/>
      <w:r>
        <w:lastRenderedPageBreak/>
        <w:t>Appendix C:</w:t>
      </w:r>
      <w:r>
        <w:br/>
        <w:t>2016 ICH CAHPS Star Rating Cut Points</w:t>
      </w:r>
      <w:bookmarkEnd w:id="58"/>
      <w:bookmarkEnd w:id="59"/>
      <w:bookmarkEnd w:id="60"/>
    </w:p>
    <w:p w14:paraId="500BC7BA" w14:textId="77777777" w:rsidR="00210E74" w:rsidRDefault="00210E74" w:rsidP="00210E74">
      <w:pPr>
        <w:pStyle w:val="table-title"/>
      </w:pPr>
      <w:bookmarkStart w:id="61" w:name="_Toc491334011"/>
      <w:bookmarkStart w:id="62" w:name="_Toc494384152"/>
      <w:bookmarkStart w:id="63" w:name="_Toc497219377"/>
      <w:r>
        <w:t>Table 3.</w:t>
      </w:r>
      <w:r>
        <w:tab/>
        <w:t>ICH CAHPS Star Rating Cut Points (Average for the Two 2016 ICH CAHPS Semiannual Surveys)</w:t>
      </w:r>
      <w:bookmarkEnd w:id="61"/>
      <w:bookmarkEnd w:id="62"/>
      <w:bookmarkEnd w:id="63"/>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510"/>
        <w:gridCol w:w="1170"/>
        <w:gridCol w:w="1170"/>
        <w:gridCol w:w="1170"/>
        <w:gridCol w:w="1170"/>
        <w:gridCol w:w="1170"/>
      </w:tblGrid>
      <w:tr w:rsidR="00210E74" w:rsidRPr="007B4AA9" w14:paraId="458AE0CE" w14:textId="77777777" w:rsidTr="005669B3">
        <w:trPr>
          <w:cantSplit/>
          <w:tblHeader/>
        </w:trPr>
        <w:tc>
          <w:tcPr>
            <w:tcW w:w="3510" w:type="dxa"/>
            <w:tcBorders>
              <w:top w:val="single" w:sz="12" w:space="0" w:color="auto"/>
              <w:bottom w:val="single" w:sz="6" w:space="0" w:color="auto"/>
            </w:tcBorders>
            <w:vAlign w:val="bottom"/>
          </w:tcPr>
          <w:p w14:paraId="6EFA05D5" w14:textId="77777777" w:rsidR="00210E74" w:rsidRPr="007B4AA9" w:rsidRDefault="00210E74" w:rsidP="005669B3">
            <w:pPr>
              <w:pStyle w:val="table-headers"/>
            </w:pPr>
            <w:r w:rsidRPr="007B4AA9">
              <w:t> </w:t>
            </w:r>
          </w:p>
        </w:tc>
        <w:tc>
          <w:tcPr>
            <w:tcW w:w="1170" w:type="dxa"/>
            <w:tcBorders>
              <w:top w:val="single" w:sz="12" w:space="0" w:color="auto"/>
              <w:bottom w:val="single" w:sz="6" w:space="0" w:color="auto"/>
            </w:tcBorders>
            <w:vAlign w:val="bottom"/>
          </w:tcPr>
          <w:p w14:paraId="08BE9F5D" w14:textId="77777777" w:rsidR="00210E74" w:rsidRPr="007B4AA9" w:rsidRDefault="00210E74" w:rsidP="005669B3">
            <w:pPr>
              <w:pStyle w:val="table-headers"/>
            </w:pPr>
            <w:r w:rsidRPr="007B4AA9">
              <w:t>1 Star</w:t>
            </w:r>
          </w:p>
        </w:tc>
        <w:tc>
          <w:tcPr>
            <w:tcW w:w="1170" w:type="dxa"/>
            <w:tcBorders>
              <w:top w:val="single" w:sz="12" w:space="0" w:color="auto"/>
              <w:bottom w:val="single" w:sz="6" w:space="0" w:color="auto"/>
            </w:tcBorders>
            <w:vAlign w:val="bottom"/>
          </w:tcPr>
          <w:p w14:paraId="13F46451" w14:textId="77777777" w:rsidR="00210E74" w:rsidRPr="007B4AA9" w:rsidRDefault="00210E74" w:rsidP="005669B3">
            <w:pPr>
              <w:pStyle w:val="table-headers"/>
            </w:pPr>
            <w:r w:rsidRPr="007B4AA9">
              <w:t>2 Stars</w:t>
            </w:r>
          </w:p>
        </w:tc>
        <w:tc>
          <w:tcPr>
            <w:tcW w:w="1170" w:type="dxa"/>
            <w:tcBorders>
              <w:top w:val="single" w:sz="12" w:space="0" w:color="auto"/>
              <w:bottom w:val="single" w:sz="6" w:space="0" w:color="auto"/>
            </w:tcBorders>
            <w:vAlign w:val="bottom"/>
          </w:tcPr>
          <w:p w14:paraId="21B92D60" w14:textId="77777777" w:rsidR="00210E74" w:rsidRPr="007B4AA9" w:rsidRDefault="00210E74" w:rsidP="005669B3">
            <w:pPr>
              <w:pStyle w:val="table-headers"/>
            </w:pPr>
            <w:r w:rsidRPr="007B4AA9">
              <w:t>3 Stars</w:t>
            </w:r>
          </w:p>
        </w:tc>
        <w:tc>
          <w:tcPr>
            <w:tcW w:w="1170" w:type="dxa"/>
            <w:tcBorders>
              <w:top w:val="single" w:sz="12" w:space="0" w:color="auto"/>
              <w:bottom w:val="single" w:sz="6" w:space="0" w:color="auto"/>
            </w:tcBorders>
            <w:vAlign w:val="bottom"/>
          </w:tcPr>
          <w:p w14:paraId="580E8D52" w14:textId="77777777" w:rsidR="00210E74" w:rsidRPr="007B4AA9" w:rsidRDefault="00210E74" w:rsidP="005669B3">
            <w:pPr>
              <w:pStyle w:val="table-headers"/>
            </w:pPr>
            <w:r w:rsidRPr="007B4AA9">
              <w:t>4 Stars</w:t>
            </w:r>
          </w:p>
        </w:tc>
        <w:tc>
          <w:tcPr>
            <w:tcW w:w="1170" w:type="dxa"/>
            <w:tcBorders>
              <w:top w:val="single" w:sz="12" w:space="0" w:color="auto"/>
              <w:bottom w:val="single" w:sz="6" w:space="0" w:color="auto"/>
            </w:tcBorders>
            <w:vAlign w:val="bottom"/>
          </w:tcPr>
          <w:p w14:paraId="41506DA3" w14:textId="77777777" w:rsidR="00210E74" w:rsidRPr="007B4AA9" w:rsidRDefault="00210E74" w:rsidP="005669B3">
            <w:pPr>
              <w:pStyle w:val="table-headers"/>
            </w:pPr>
            <w:r w:rsidRPr="007B4AA9">
              <w:t>5 Stars</w:t>
            </w:r>
          </w:p>
        </w:tc>
      </w:tr>
      <w:tr w:rsidR="00210E74" w:rsidRPr="00846C44" w14:paraId="23B67928" w14:textId="77777777" w:rsidTr="005669B3">
        <w:trPr>
          <w:cantSplit/>
        </w:trPr>
        <w:tc>
          <w:tcPr>
            <w:tcW w:w="3510" w:type="dxa"/>
            <w:tcBorders>
              <w:top w:val="single" w:sz="6" w:space="0" w:color="auto"/>
            </w:tcBorders>
          </w:tcPr>
          <w:p w14:paraId="7BDF0976" w14:textId="22131F38" w:rsidR="00210E74" w:rsidRPr="00630664" w:rsidRDefault="00210E74" w:rsidP="005669B3">
            <w:pPr>
              <w:pStyle w:val="table-text"/>
            </w:pPr>
            <w:r w:rsidRPr="00630664">
              <w:t xml:space="preserve">Rating of </w:t>
            </w:r>
            <w:r w:rsidR="003A76CA">
              <w:t>Kidney Doctors</w:t>
            </w:r>
            <w:r w:rsidRPr="00630664">
              <w:t xml:space="preserve"> (Q8)</w:t>
            </w:r>
          </w:p>
        </w:tc>
        <w:tc>
          <w:tcPr>
            <w:tcW w:w="1170" w:type="dxa"/>
            <w:tcBorders>
              <w:top w:val="single" w:sz="6" w:space="0" w:color="auto"/>
            </w:tcBorders>
          </w:tcPr>
          <w:p w14:paraId="367AF0C6" w14:textId="77777777" w:rsidR="00210E74" w:rsidRPr="00630664" w:rsidRDefault="00210E74" w:rsidP="005669B3">
            <w:pPr>
              <w:pStyle w:val="table-text"/>
              <w:jc w:val="center"/>
            </w:pPr>
            <w:r w:rsidRPr="00630664">
              <w:t>&lt;74</w:t>
            </w:r>
          </w:p>
        </w:tc>
        <w:tc>
          <w:tcPr>
            <w:tcW w:w="1170" w:type="dxa"/>
            <w:tcBorders>
              <w:top w:val="single" w:sz="6" w:space="0" w:color="auto"/>
            </w:tcBorders>
          </w:tcPr>
          <w:p w14:paraId="2573ADFA" w14:textId="77777777" w:rsidR="00210E74" w:rsidRPr="00630664" w:rsidRDefault="00210E74" w:rsidP="005669B3">
            <w:pPr>
              <w:pStyle w:val="table-text"/>
              <w:jc w:val="center"/>
            </w:pPr>
            <w:r w:rsidRPr="00630664">
              <w:t>≥74 to &lt;82</w:t>
            </w:r>
          </w:p>
        </w:tc>
        <w:tc>
          <w:tcPr>
            <w:tcW w:w="1170" w:type="dxa"/>
            <w:tcBorders>
              <w:top w:val="single" w:sz="6" w:space="0" w:color="auto"/>
            </w:tcBorders>
          </w:tcPr>
          <w:p w14:paraId="61E625B0" w14:textId="77777777" w:rsidR="00210E74" w:rsidRPr="00630664" w:rsidRDefault="00210E74" w:rsidP="005669B3">
            <w:pPr>
              <w:pStyle w:val="table-text"/>
              <w:jc w:val="center"/>
            </w:pPr>
            <w:r w:rsidRPr="00630664">
              <w:t>≥82 to &lt;85</w:t>
            </w:r>
          </w:p>
        </w:tc>
        <w:tc>
          <w:tcPr>
            <w:tcW w:w="1170" w:type="dxa"/>
            <w:tcBorders>
              <w:top w:val="single" w:sz="6" w:space="0" w:color="auto"/>
            </w:tcBorders>
          </w:tcPr>
          <w:p w14:paraId="5540B0EB" w14:textId="77777777" w:rsidR="00210E74" w:rsidRPr="00630664" w:rsidRDefault="00210E74" w:rsidP="005669B3">
            <w:pPr>
              <w:pStyle w:val="table-text"/>
              <w:jc w:val="center"/>
            </w:pPr>
            <w:r w:rsidRPr="00630664">
              <w:t>≥85 to &lt;89</w:t>
            </w:r>
          </w:p>
        </w:tc>
        <w:tc>
          <w:tcPr>
            <w:tcW w:w="1170" w:type="dxa"/>
            <w:tcBorders>
              <w:top w:val="single" w:sz="6" w:space="0" w:color="auto"/>
            </w:tcBorders>
          </w:tcPr>
          <w:p w14:paraId="2DD01B5D" w14:textId="77777777" w:rsidR="00210E74" w:rsidRPr="00630664" w:rsidRDefault="00210E74" w:rsidP="005669B3">
            <w:pPr>
              <w:pStyle w:val="table-text"/>
              <w:jc w:val="center"/>
            </w:pPr>
            <w:r w:rsidRPr="00630664">
              <w:t>≥89</w:t>
            </w:r>
          </w:p>
        </w:tc>
      </w:tr>
      <w:tr w:rsidR="00210E74" w:rsidRPr="00846C44" w14:paraId="6B4C5ED3" w14:textId="77777777" w:rsidTr="005669B3">
        <w:trPr>
          <w:cantSplit/>
        </w:trPr>
        <w:tc>
          <w:tcPr>
            <w:tcW w:w="3510" w:type="dxa"/>
          </w:tcPr>
          <w:p w14:paraId="2A52BA1E" w14:textId="77777777" w:rsidR="00210E74" w:rsidRPr="00630664" w:rsidRDefault="00210E74" w:rsidP="005669B3">
            <w:pPr>
              <w:pStyle w:val="table-text"/>
            </w:pPr>
            <w:r w:rsidRPr="00630664">
              <w:t>Rating of Dialysis Care Staff (Q32)</w:t>
            </w:r>
          </w:p>
        </w:tc>
        <w:tc>
          <w:tcPr>
            <w:tcW w:w="1170" w:type="dxa"/>
          </w:tcPr>
          <w:p w14:paraId="42BAC86C" w14:textId="77777777" w:rsidR="00210E74" w:rsidRPr="00630664" w:rsidRDefault="00210E74" w:rsidP="005669B3">
            <w:pPr>
              <w:pStyle w:val="table-text"/>
              <w:jc w:val="center"/>
            </w:pPr>
            <w:r w:rsidRPr="00630664">
              <w:t>&lt;78</w:t>
            </w:r>
          </w:p>
        </w:tc>
        <w:tc>
          <w:tcPr>
            <w:tcW w:w="1170" w:type="dxa"/>
          </w:tcPr>
          <w:p w14:paraId="12A7A191" w14:textId="77777777" w:rsidR="00210E74" w:rsidRPr="00630664" w:rsidRDefault="00210E74" w:rsidP="005669B3">
            <w:pPr>
              <w:pStyle w:val="table-text"/>
              <w:jc w:val="center"/>
            </w:pPr>
            <w:r w:rsidRPr="00630664">
              <w:t>≥78 to &lt;82</w:t>
            </w:r>
          </w:p>
        </w:tc>
        <w:tc>
          <w:tcPr>
            <w:tcW w:w="1170" w:type="dxa"/>
          </w:tcPr>
          <w:p w14:paraId="43EDF258" w14:textId="77777777" w:rsidR="00210E74" w:rsidRPr="00630664" w:rsidRDefault="00210E74" w:rsidP="005669B3">
            <w:pPr>
              <w:pStyle w:val="table-text"/>
              <w:jc w:val="center"/>
            </w:pPr>
            <w:r w:rsidRPr="00630664">
              <w:t>≥82 to &lt;86</w:t>
            </w:r>
          </w:p>
        </w:tc>
        <w:tc>
          <w:tcPr>
            <w:tcW w:w="1170" w:type="dxa"/>
          </w:tcPr>
          <w:p w14:paraId="1A76FC6D" w14:textId="77777777" w:rsidR="00210E74" w:rsidRPr="00630664" w:rsidRDefault="00210E74" w:rsidP="005669B3">
            <w:pPr>
              <w:pStyle w:val="table-text"/>
              <w:jc w:val="center"/>
            </w:pPr>
            <w:r w:rsidRPr="00630664">
              <w:t>≥86 to &lt;91</w:t>
            </w:r>
          </w:p>
        </w:tc>
        <w:tc>
          <w:tcPr>
            <w:tcW w:w="1170" w:type="dxa"/>
          </w:tcPr>
          <w:p w14:paraId="61BEAEFF" w14:textId="77777777" w:rsidR="00210E74" w:rsidRPr="00630664" w:rsidRDefault="00210E74" w:rsidP="005669B3">
            <w:pPr>
              <w:pStyle w:val="table-text"/>
              <w:jc w:val="center"/>
            </w:pPr>
            <w:r w:rsidRPr="00630664">
              <w:t>≥91</w:t>
            </w:r>
          </w:p>
        </w:tc>
      </w:tr>
      <w:tr w:rsidR="00210E74" w:rsidRPr="00846C44" w14:paraId="11DF3DB3" w14:textId="77777777" w:rsidTr="005669B3">
        <w:trPr>
          <w:cantSplit/>
        </w:trPr>
        <w:tc>
          <w:tcPr>
            <w:tcW w:w="3510" w:type="dxa"/>
          </w:tcPr>
          <w:p w14:paraId="6BDEBDF5" w14:textId="77777777" w:rsidR="00210E74" w:rsidRPr="00630664" w:rsidRDefault="00210E74" w:rsidP="005669B3">
            <w:pPr>
              <w:pStyle w:val="table-text"/>
            </w:pPr>
            <w:r w:rsidRPr="00630664">
              <w:t>Rating of Dialysis Center (Q35)</w:t>
            </w:r>
          </w:p>
        </w:tc>
        <w:tc>
          <w:tcPr>
            <w:tcW w:w="1170" w:type="dxa"/>
          </w:tcPr>
          <w:p w14:paraId="5B2A6334" w14:textId="77777777" w:rsidR="00210E74" w:rsidRPr="00630664" w:rsidRDefault="00210E74" w:rsidP="005669B3">
            <w:pPr>
              <w:pStyle w:val="table-text"/>
              <w:jc w:val="center"/>
            </w:pPr>
            <w:r w:rsidRPr="00630664">
              <w:t>&lt;79</w:t>
            </w:r>
          </w:p>
        </w:tc>
        <w:tc>
          <w:tcPr>
            <w:tcW w:w="1170" w:type="dxa"/>
          </w:tcPr>
          <w:p w14:paraId="042C9DD5" w14:textId="77777777" w:rsidR="00210E74" w:rsidRPr="00630664" w:rsidRDefault="00210E74" w:rsidP="005669B3">
            <w:pPr>
              <w:pStyle w:val="table-text"/>
              <w:jc w:val="center"/>
            </w:pPr>
            <w:r w:rsidRPr="00630664">
              <w:t>≥79 to &lt;83</w:t>
            </w:r>
          </w:p>
        </w:tc>
        <w:tc>
          <w:tcPr>
            <w:tcW w:w="1170" w:type="dxa"/>
          </w:tcPr>
          <w:p w14:paraId="3EAFA2FC" w14:textId="77777777" w:rsidR="00210E74" w:rsidRPr="00630664" w:rsidRDefault="00210E74" w:rsidP="005669B3">
            <w:pPr>
              <w:pStyle w:val="table-text"/>
              <w:jc w:val="center"/>
            </w:pPr>
            <w:r w:rsidRPr="00630664">
              <w:t>≥83 to &lt;87</w:t>
            </w:r>
          </w:p>
        </w:tc>
        <w:tc>
          <w:tcPr>
            <w:tcW w:w="1170" w:type="dxa"/>
          </w:tcPr>
          <w:p w14:paraId="730C76A2" w14:textId="77777777" w:rsidR="00210E74" w:rsidRPr="00630664" w:rsidRDefault="00210E74" w:rsidP="005669B3">
            <w:pPr>
              <w:pStyle w:val="table-text"/>
              <w:jc w:val="center"/>
            </w:pPr>
            <w:r w:rsidRPr="00630664">
              <w:t>≥87 to &lt;92</w:t>
            </w:r>
          </w:p>
        </w:tc>
        <w:tc>
          <w:tcPr>
            <w:tcW w:w="1170" w:type="dxa"/>
          </w:tcPr>
          <w:p w14:paraId="403023EE" w14:textId="77777777" w:rsidR="00210E74" w:rsidRPr="00630664" w:rsidRDefault="00210E74" w:rsidP="005669B3">
            <w:pPr>
              <w:pStyle w:val="table-text"/>
              <w:jc w:val="center"/>
            </w:pPr>
            <w:r w:rsidRPr="00630664">
              <w:t>≥92</w:t>
            </w:r>
          </w:p>
        </w:tc>
      </w:tr>
      <w:tr w:rsidR="00210E74" w:rsidRPr="00846C44" w14:paraId="0048D528" w14:textId="77777777" w:rsidTr="005669B3">
        <w:trPr>
          <w:cantSplit/>
        </w:trPr>
        <w:tc>
          <w:tcPr>
            <w:tcW w:w="3510" w:type="dxa"/>
          </w:tcPr>
          <w:p w14:paraId="3C4EC682" w14:textId="77777777" w:rsidR="00210E74" w:rsidRPr="00630664" w:rsidRDefault="00210E74" w:rsidP="005669B3">
            <w:pPr>
              <w:pStyle w:val="table-text"/>
            </w:pPr>
            <w:r w:rsidRPr="00630664">
              <w:t>Communication and Caring Composite</w:t>
            </w:r>
          </w:p>
        </w:tc>
        <w:tc>
          <w:tcPr>
            <w:tcW w:w="1170" w:type="dxa"/>
          </w:tcPr>
          <w:p w14:paraId="352231D5" w14:textId="77777777" w:rsidR="00210E74" w:rsidRPr="00630664" w:rsidRDefault="00210E74" w:rsidP="005669B3">
            <w:pPr>
              <w:pStyle w:val="table-text"/>
              <w:jc w:val="center"/>
            </w:pPr>
            <w:r w:rsidRPr="00630664">
              <w:t>&lt;72</w:t>
            </w:r>
          </w:p>
        </w:tc>
        <w:tc>
          <w:tcPr>
            <w:tcW w:w="1170" w:type="dxa"/>
          </w:tcPr>
          <w:p w14:paraId="7BDE9297" w14:textId="77777777" w:rsidR="00210E74" w:rsidRPr="00630664" w:rsidRDefault="00210E74" w:rsidP="005669B3">
            <w:pPr>
              <w:pStyle w:val="table-text"/>
              <w:jc w:val="center"/>
            </w:pPr>
            <w:r w:rsidRPr="00630664">
              <w:t>≥72 to &lt;79</w:t>
            </w:r>
          </w:p>
        </w:tc>
        <w:tc>
          <w:tcPr>
            <w:tcW w:w="1170" w:type="dxa"/>
          </w:tcPr>
          <w:p w14:paraId="24AA9F5F" w14:textId="77777777" w:rsidR="00210E74" w:rsidRPr="00630664" w:rsidRDefault="00210E74" w:rsidP="005669B3">
            <w:pPr>
              <w:pStyle w:val="table-text"/>
              <w:jc w:val="center"/>
            </w:pPr>
            <w:r w:rsidRPr="00630664">
              <w:t>≥79 to &lt;83</w:t>
            </w:r>
          </w:p>
        </w:tc>
        <w:tc>
          <w:tcPr>
            <w:tcW w:w="1170" w:type="dxa"/>
          </w:tcPr>
          <w:p w14:paraId="40B0C45F" w14:textId="77777777" w:rsidR="00210E74" w:rsidRPr="00630664" w:rsidRDefault="00210E74" w:rsidP="005669B3">
            <w:pPr>
              <w:pStyle w:val="table-text"/>
              <w:jc w:val="center"/>
            </w:pPr>
            <w:r w:rsidRPr="00630664">
              <w:t>≥83 to &lt;89</w:t>
            </w:r>
          </w:p>
        </w:tc>
        <w:tc>
          <w:tcPr>
            <w:tcW w:w="1170" w:type="dxa"/>
          </w:tcPr>
          <w:p w14:paraId="586A4794" w14:textId="77777777" w:rsidR="00210E74" w:rsidRPr="00630664" w:rsidRDefault="00210E74" w:rsidP="005669B3">
            <w:pPr>
              <w:pStyle w:val="table-text"/>
              <w:jc w:val="center"/>
            </w:pPr>
            <w:r w:rsidRPr="00630664">
              <w:t>≥89</w:t>
            </w:r>
          </w:p>
        </w:tc>
      </w:tr>
      <w:tr w:rsidR="00210E74" w:rsidRPr="00846C44" w14:paraId="70AAD9EB" w14:textId="77777777" w:rsidTr="005669B3">
        <w:trPr>
          <w:cantSplit/>
        </w:trPr>
        <w:tc>
          <w:tcPr>
            <w:tcW w:w="3510" w:type="dxa"/>
          </w:tcPr>
          <w:p w14:paraId="05261196" w14:textId="77777777" w:rsidR="00210E74" w:rsidRPr="00630664" w:rsidRDefault="00210E74" w:rsidP="005669B3">
            <w:pPr>
              <w:pStyle w:val="table-text"/>
            </w:pPr>
            <w:r w:rsidRPr="00630664">
              <w:t>Quality and Operations Composite</w:t>
            </w:r>
          </w:p>
        </w:tc>
        <w:tc>
          <w:tcPr>
            <w:tcW w:w="1170" w:type="dxa"/>
          </w:tcPr>
          <w:p w14:paraId="207D67DC" w14:textId="77777777" w:rsidR="00210E74" w:rsidRPr="00630664" w:rsidRDefault="00210E74" w:rsidP="005669B3">
            <w:pPr>
              <w:pStyle w:val="table-text"/>
              <w:jc w:val="center"/>
            </w:pPr>
            <w:r w:rsidRPr="00630664">
              <w:t>&lt;72</w:t>
            </w:r>
          </w:p>
        </w:tc>
        <w:tc>
          <w:tcPr>
            <w:tcW w:w="1170" w:type="dxa"/>
          </w:tcPr>
          <w:p w14:paraId="060625E6" w14:textId="77777777" w:rsidR="00210E74" w:rsidRPr="00630664" w:rsidRDefault="00210E74" w:rsidP="005669B3">
            <w:pPr>
              <w:pStyle w:val="table-text"/>
              <w:jc w:val="center"/>
            </w:pPr>
            <w:r w:rsidRPr="00630664">
              <w:t>≥72 to &lt;76</w:t>
            </w:r>
          </w:p>
        </w:tc>
        <w:tc>
          <w:tcPr>
            <w:tcW w:w="1170" w:type="dxa"/>
          </w:tcPr>
          <w:p w14:paraId="34E893FA" w14:textId="77777777" w:rsidR="00210E74" w:rsidRPr="00630664" w:rsidRDefault="00210E74" w:rsidP="005669B3">
            <w:pPr>
              <w:pStyle w:val="table-text"/>
              <w:jc w:val="center"/>
            </w:pPr>
            <w:r w:rsidRPr="00630664">
              <w:t>≥76 to &lt;80</w:t>
            </w:r>
          </w:p>
        </w:tc>
        <w:tc>
          <w:tcPr>
            <w:tcW w:w="1170" w:type="dxa"/>
          </w:tcPr>
          <w:p w14:paraId="5981AE7B" w14:textId="77777777" w:rsidR="00210E74" w:rsidRPr="00630664" w:rsidRDefault="00210E74" w:rsidP="005669B3">
            <w:pPr>
              <w:pStyle w:val="table-text"/>
              <w:jc w:val="center"/>
            </w:pPr>
            <w:r w:rsidRPr="00630664">
              <w:t>≥80 to &lt;84</w:t>
            </w:r>
          </w:p>
        </w:tc>
        <w:tc>
          <w:tcPr>
            <w:tcW w:w="1170" w:type="dxa"/>
          </w:tcPr>
          <w:p w14:paraId="5F0F7FE8" w14:textId="77777777" w:rsidR="00210E74" w:rsidRPr="00630664" w:rsidRDefault="00210E74" w:rsidP="005669B3">
            <w:pPr>
              <w:pStyle w:val="table-text"/>
              <w:jc w:val="center"/>
            </w:pPr>
            <w:r w:rsidRPr="00630664">
              <w:t>≥84</w:t>
            </w:r>
          </w:p>
        </w:tc>
      </w:tr>
      <w:tr w:rsidR="00210E74" w:rsidRPr="00846C44" w14:paraId="25BB2E25" w14:textId="77777777" w:rsidTr="005669B3">
        <w:trPr>
          <w:cantSplit/>
        </w:trPr>
        <w:tc>
          <w:tcPr>
            <w:tcW w:w="3510" w:type="dxa"/>
            <w:tcBorders>
              <w:bottom w:val="single" w:sz="12" w:space="0" w:color="auto"/>
            </w:tcBorders>
          </w:tcPr>
          <w:p w14:paraId="65770920" w14:textId="77777777" w:rsidR="00210E74" w:rsidRPr="00630664" w:rsidRDefault="00210E74" w:rsidP="005669B3">
            <w:pPr>
              <w:pStyle w:val="table-text"/>
            </w:pPr>
            <w:r w:rsidRPr="00630664">
              <w:t>Providing Information Composite</w:t>
            </w:r>
          </w:p>
        </w:tc>
        <w:tc>
          <w:tcPr>
            <w:tcW w:w="1170" w:type="dxa"/>
            <w:tcBorders>
              <w:bottom w:val="single" w:sz="12" w:space="0" w:color="auto"/>
            </w:tcBorders>
          </w:tcPr>
          <w:p w14:paraId="22A5FB1A" w14:textId="77777777" w:rsidR="00210E74" w:rsidRPr="00630664" w:rsidRDefault="00210E74" w:rsidP="005669B3">
            <w:pPr>
              <w:pStyle w:val="table-text"/>
              <w:jc w:val="center"/>
            </w:pPr>
            <w:r w:rsidRPr="00630664">
              <w:t>&lt;73</w:t>
            </w:r>
          </w:p>
        </w:tc>
        <w:tc>
          <w:tcPr>
            <w:tcW w:w="1170" w:type="dxa"/>
            <w:tcBorders>
              <w:bottom w:val="single" w:sz="12" w:space="0" w:color="auto"/>
            </w:tcBorders>
          </w:tcPr>
          <w:p w14:paraId="549ECC31" w14:textId="77777777" w:rsidR="00210E74" w:rsidRPr="00630664" w:rsidRDefault="00210E74" w:rsidP="005669B3">
            <w:pPr>
              <w:pStyle w:val="table-text"/>
              <w:jc w:val="center"/>
            </w:pPr>
            <w:r w:rsidRPr="00630664">
              <w:t>≥73 to &lt;77</w:t>
            </w:r>
          </w:p>
        </w:tc>
        <w:tc>
          <w:tcPr>
            <w:tcW w:w="1170" w:type="dxa"/>
            <w:tcBorders>
              <w:bottom w:val="single" w:sz="12" w:space="0" w:color="auto"/>
            </w:tcBorders>
          </w:tcPr>
          <w:p w14:paraId="6B0C5308" w14:textId="77777777" w:rsidR="00210E74" w:rsidRPr="00630664" w:rsidRDefault="00210E74" w:rsidP="005669B3">
            <w:pPr>
              <w:pStyle w:val="table-text"/>
              <w:jc w:val="center"/>
            </w:pPr>
            <w:r w:rsidRPr="00630664">
              <w:t>≥77 to &lt;80</w:t>
            </w:r>
          </w:p>
        </w:tc>
        <w:tc>
          <w:tcPr>
            <w:tcW w:w="1170" w:type="dxa"/>
            <w:tcBorders>
              <w:bottom w:val="single" w:sz="12" w:space="0" w:color="auto"/>
            </w:tcBorders>
          </w:tcPr>
          <w:p w14:paraId="52DA54F0" w14:textId="77777777" w:rsidR="00210E74" w:rsidRPr="00630664" w:rsidRDefault="00210E74" w:rsidP="005669B3">
            <w:pPr>
              <w:pStyle w:val="table-text"/>
              <w:jc w:val="center"/>
            </w:pPr>
            <w:r w:rsidRPr="00630664">
              <w:t>≥80 to &lt;84</w:t>
            </w:r>
          </w:p>
        </w:tc>
        <w:tc>
          <w:tcPr>
            <w:tcW w:w="1170" w:type="dxa"/>
            <w:tcBorders>
              <w:bottom w:val="single" w:sz="12" w:space="0" w:color="auto"/>
            </w:tcBorders>
          </w:tcPr>
          <w:p w14:paraId="1CF95EEB" w14:textId="77777777" w:rsidR="00210E74" w:rsidRPr="00630664" w:rsidRDefault="00210E74" w:rsidP="005669B3">
            <w:pPr>
              <w:pStyle w:val="table-text"/>
              <w:jc w:val="center"/>
            </w:pPr>
            <w:r w:rsidRPr="00630664">
              <w:t>≥84</w:t>
            </w:r>
          </w:p>
        </w:tc>
      </w:tr>
    </w:tbl>
    <w:p w14:paraId="18E613F1" w14:textId="77777777" w:rsidR="00210E74" w:rsidRDefault="00210E74" w:rsidP="00210E74">
      <w:pPr>
        <w:pStyle w:val="table-sourcestd"/>
      </w:pPr>
      <w:bookmarkStart w:id="64" w:name="_Toc491334012"/>
      <w:bookmarkStart w:id="65" w:name="_Toc494384153"/>
    </w:p>
    <w:p w14:paraId="4D97B780" w14:textId="77777777" w:rsidR="00210E74" w:rsidRDefault="00210E74" w:rsidP="00210E74">
      <w:pPr>
        <w:pStyle w:val="table-title"/>
      </w:pPr>
      <w:bookmarkStart w:id="66" w:name="_Toc497219378"/>
      <w:r>
        <w:t>Table 4.</w:t>
      </w:r>
      <w:r>
        <w:tab/>
        <w:t>Frequency of ICH CAHPS CCNs Assigned to Each Star Rating (Average for the Two 2016 ICH CAHPS Semiannual Surveys)</w:t>
      </w:r>
      <w:bookmarkEnd w:id="64"/>
      <w:bookmarkEnd w:id="65"/>
      <w:bookmarkEnd w:id="66"/>
    </w:p>
    <w:tbl>
      <w:tblPr>
        <w:tblW w:w="9360"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3510"/>
        <w:gridCol w:w="1170"/>
        <w:gridCol w:w="1170"/>
        <w:gridCol w:w="1170"/>
        <w:gridCol w:w="1170"/>
        <w:gridCol w:w="1170"/>
      </w:tblGrid>
      <w:tr w:rsidR="00210E74" w:rsidRPr="007B4AA9" w14:paraId="1E3ECB99" w14:textId="77777777" w:rsidTr="005669B3">
        <w:trPr>
          <w:cantSplit/>
          <w:tblHeader/>
        </w:trPr>
        <w:tc>
          <w:tcPr>
            <w:tcW w:w="3510" w:type="dxa"/>
            <w:tcBorders>
              <w:top w:val="single" w:sz="12" w:space="0" w:color="auto"/>
              <w:bottom w:val="single" w:sz="6" w:space="0" w:color="auto"/>
            </w:tcBorders>
            <w:vAlign w:val="bottom"/>
          </w:tcPr>
          <w:p w14:paraId="5067971F" w14:textId="77777777" w:rsidR="00210E74" w:rsidRPr="007B4AA9" w:rsidRDefault="00210E74" w:rsidP="005669B3">
            <w:pPr>
              <w:pStyle w:val="table-headers"/>
            </w:pPr>
            <w:r w:rsidRPr="007B4AA9">
              <w:t> </w:t>
            </w:r>
          </w:p>
        </w:tc>
        <w:tc>
          <w:tcPr>
            <w:tcW w:w="1170" w:type="dxa"/>
            <w:tcBorders>
              <w:top w:val="single" w:sz="12" w:space="0" w:color="auto"/>
              <w:bottom w:val="single" w:sz="6" w:space="0" w:color="auto"/>
            </w:tcBorders>
            <w:vAlign w:val="bottom"/>
          </w:tcPr>
          <w:p w14:paraId="311D5023" w14:textId="77777777" w:rsidR="00210E74" w:rsidRPr="007B4AA9" w:rsidRDefault="00210E74" w:rsidP="005669B3">
            <w:pPr>
              <w:pStyle w:val="table-headers"/>
            </w:pPr>
            <w:r w:rsidRPr="007B4AA9">
              <w:t>1 Star</w:t>
            </w:r>
          </w:p>
        </w:tc>
        <w:tc>
          <w:tcPr>
            <w:tcW w:w="1170" w:type="dxa"/>
            <w:tcBorders>
              <w:top w:val="single" w:sz="12" w:space="0" w:color="auto"/>
              <w:bottom w:val="single" w:sz="6" w:space="0" w:color="auto"/>
            </w:tcBorders>
            <w:vAlign w:val="bottom"/>
          </w:tcPr>
          <w:p w14:paraId="4C981A51" w14:textId="77777777" w:rsidR="00210E74" w:rsidRPr="007B4AA9" w:rsidRDefault="00210E74" w:rsidP="005669B3">
            <w:pPr>
              <w:pStyle w:val="table-headers"/>
            </w:pPr>
            <w:r w:rsidRPr="007B4AA9">
              <w:t>2 Stars</w:t>
            </w:r>
          </w:p>
        </w:tc>
        <w:tc>
          <w:tcPr>
            <w:tcW w:w="1170" w:type="dxa"/>
            <w:tcBorders>
              <w:top w:val="single" w:sz="12" w:space="0" w:color="auto"/>
              <w:bottom w:val="single" w:sz="6" w:space="0" w:color="auto"/>
            </w:tcBorders>
            <w:vAlign w:val="bottom"/>
          </w:tcPr>
          <w:p w14:paraId="023679D5" w14:textId="77777777" w:rsidR="00210E74" w:rsidRPr="007B4AA9" w:rsidRDefault="00210E74" w:rsidP="005669B3">
            <w:pPr>
              <w:pStyle w:val="table-headers"/>
            </w:pPr>
            <w:r w:rsidRPr="007B4AA9">
              <w:t>3 Stars</w:t>
            </w:r>
          </w:p>
        </w:tc>
        <w:tc>
          <w:tcPr>
            <w:tcW w:w="1170" w:type="dxa"/>
            <w:tcBorders>
              <w:top w:val="single" w:sz="12" w:space="0" w:color="auto"/>
              <w:bottom w:val="single" w:sz="6" w:space="0" w:color="auto"/>
            </w:tcBorders>
            <w:vAlign w:val="bottom"/>
          </w:tcPr>
          <w:p w14:paraId="7EECA323" w14:textId="77777777" w:rsidR="00210E74" w:rsidRPr="007B4AA9" w:rsidRDefault="00210E74" w:rsidP="005669B3">
            <w:pPr>
              <w:pStyle w:val="table-headers"/>
            </w:pPr>
            <w:r w:rsidRPr="007B4AA9">
              <w:t>4 Stars</w:t>
            </w:r>
          </w:p>
        </w:tc>
        <w:tc>
          <w:tcPr>
            <w:tcW w:w="1170" w:type="dxa"/>
            <w:tcBorders>
              <w:top w:val="single" w:sz="12" w:space="0" w:color="auto"/>
              <w:bottom w:val="single" w:sz="6" w:space="0" w:color="auto"/>
            </w:tcBorders>
            <w:vAlign w:val="bottom"/>
          </w:tcPr>
          <w:p w14:paraId="573B6FD9" w14:textId="77777777" w:rsidR="00210E74" w:rsidRPr="007B4AA9" w:rsidRDefault="00210E74" w:rsidP="005669B3">
            <w:pPr>
              <w:pStyle w:val="table-headers"/>
            </w:pPr>
            <w:r w:rsidRPr="007B4AA9">
              <w:t>5 Stars</w:t>
            </w:r>
          </w:p>
        </w:tc>
      </w:tr>
      <w:tr w:rsidR="00210E74" w:rsidRPr="00846C44" w14:paraId="03188BEA" w14:textId="77777777" w:rsidTr="005669B3">
        <w:trPr>
          <w:cantSplit/>
        </w:trPr>
        <w:tc>
          <w:tcPr>
            <w:tcW w:w="3510" w:type="dxa"/>
            <w:tcBorders>
              <w:top w:val="single" w:sz="6" w:space="0" w:color="auto"/>
            </w:tcBorders>
          </w:tcPr>
          <w:p w14:paraId="6A157868" w14:textId="77B5DA09" w:rsidR="00210E74" w:rsidRPr="00630664" w:rsidRDefault="00210E74" w:rsidP="005669B3">
            <w:pPr>
              <w:pStyle w:val="table-text"/>
            </w:pPr>
            <w:r w:rsidRPr="00630664">
              <w:t xml:space="preserve">Rating of </w:t>
            </w:r>
            <w:r w:rsidR="003A76CA">
              <w:t>Kidney Doctors</w:t>
            </w:r>
            <w:r w:rsidRPr="00630664">
              <w:t xml:space="preserve"> (Q8)</w:t>
            </w:r>
          </w:p>
        </w:tc>
        <w:tc>
          <w:tcPr>
            <w:tcW w:w="1170" w:type="dxa"/>
            <w:tcBorders>
              <w:top w:val="single" w:sz="6" w:space="0" w:color="auto"/>
            </w:tcBorders>
          </w:tcPr>
          <w:p w14:paraId="54B92717" w14:textId="77777777" w:rsidR="00210E74" w:rsidRPr="00630664" w:rsidRDefault="00210E74" w:rsidP="005669B3">
            <w:pPr>
              <w:pStyle w:val="table-text"/>
              <w:tabs>
                <w:tab w:val="decimal" w:pos="606"/>
              </w:tabs>
            </w:pPr>
            <w:r w:rsidRPr="00630664">
              <w:t>107</w:t>
            </w:r>
          </w:p>
        </w:tc>
        <w:tc>
          <w:tcPr>
            <w:tcW w:w="1170" w:type="dxa"/>
            <w:tcBorders>
              <w:top w:val="single" w:sz="6" w:space="0" w:color="auto"/>
            </w:tcBorders>
          </w:tcPr>
          <w:p w14:paraId="5E1D7A1D" w14:textId="77777777" w:rsidR="00210E74" w:rsidRPr="00630664" w:rsidRDefault="00210E74" w:rsidP="005669B3">
            <w:pPr>
              <w:pStyle w:val="table-text"/>
              <w:tabs>
                <w:tab w:val="decimal" w:pos="606"/>
              </w:tabs>
            </w:pPr>
            <w:r w:rsidRPr="00630664">
              <w:t>805</w:t>
            </w:r>
          </w:p>
        </w:tc>
        <w:tc>
          <w:tcPr>
            <w:tcW w:w="1170" w:type="dxa"/>
            <w:tcBorders>
              <w:top w:val="single" w:sz="6" w:space="0" w:color="auto"/>
            </w:tcBorders>
          </w:tcPr>
          <w:p w14:paraId="2BE2A5CB" w14:textId="77777777" w:rsidR="00210E74" w:rsidRPr="00630664" w:rsidRDefault="00210E74" w:rsidP="005669B3">
            <w:pPr>
              <w:pStyle w:val="table-text"/>
              <w:tabs>
                <w:tab w:val="decimal" w:pos="606"/>
              </w:tabs>
            </w:pPr>
            <w:r w:rsidRPr="00630664">
              <w:t>644</w:t>
            </w:r>
          </w:p>
        </w:tc>
        <w:tc>
          <w:tcPr>
            <w:tcW w:w="1170" w:type="dxa"/>
            <w:tcBorders>
              <w:top w:val="single" w:sz="6" w:space="0" w:color="auto"/>
            </w:tcBorders>
          </w:tcPr>
          <w:p w14:paraId="30FF2EDE" w14:textId="77777777" w:rsidR="00210E74" w:rsidRPr="00630664" w:rsidRDefault="00210E74" w:rsidP="005669B3">
            <w:pPr>
              <w:pStyle w:val="table-text"/>
              <w:tabs>
                <w:tab w:val="decimal" w:pos="606"/>
              </w:tabs>
            </w:pPr>
            <w:r w:rsidRPr="00630664">
              <w:t>916</w:t>
            </w:r>
          </w:p>
        </w:tc>
        <w:tc>
          <w:tcPr>
            <w:tcW w:w="1170" w:type="dxa"/>
            <w:tcBorders>
              <w:top w:val="single" w:sz="6" w:space="0" w:color="auto"/>
            </w:tcBorders>
          </w:tcPr>
          <w:p w14:paraId="48B5D77C" w14:textId="77777777" w:rsidR="00210E74" w:rsidRPr="00630664" w:rsidRDefault="00210E74" w:rsidP="005669B3">
            <w:pPr>
              <w:pStyle w:val="table-text"/>
              <w:tabs>
                <w:tab w:val="decimal" w:pos="606"/>
              </w:tabs>
            </w:pPr>
            <w:r w:rsidRPr="00630664">
              <w:t>690</w:t>
            </w:r>
          </w:p>
        </w:tc>
      </w:tr>
      <w:tr w:rsidR="00210E74" w:rsidRPr="00846C44" w14:paraId="578A0D4E" w14:textId="77777777" w:rsidTr="005669B3">
        <w:trPr>
          <w:cantSplit/>
        </w:trPr>
        <w:tc>
          <w:tcPr>
            <w:tcW w:w="3510" w:type="dxa"/>
          </w:tcPr>
          <w:p w14:paraId="5FBC37A5" w14:textId="77777777" w:rsidR="00210E74" w:rsidRPr="00630664" w:rsidRDefault="00210E74" w:rsidP="005669B3">
            <w:pPr>
              <w:pStyle w:val="table-text"/>
            </w:pPr>
            <w:r w:rsidRPr="00630664">
              <w:t>Rating of Dialysis Care Staff (Q32)</w:t>
            </w:r>
          </w:p>
        </w:tc>
        <w:tc>
          <w:tcPr>
            <w:tcW w:w="1170" w:type="dxa"/>
          </w:tcPr>
          <w:p w14:paraId="52AF9227" w14:textId="77777777" w:rsidR="00210E74" w:rsidRPr="00630664" w:rsidRDefault="00210E74" w:rsidP="005669B3">
            <w:pPr>
              <w:pStyle w:val="table-text"/>
              <w:tabs>
                <w:tab w:val="decimal" w:pos="606"/>
              </w:tabs>
            </w:pPr>
            <w:r w:rsidRPr="00630664">
              <w:t>255</w:t>
            </w:r>
          </w:p>
        </w:tc>
        <w:tc>
          <w:tcPr>
            <w:tcW w:w="1170" w:type="dxa"/>
          </w:tcPr>
          <w:p w14:paraId="3486D183" w14:textId="77777777" w:rsidR="00210E74" w:rsidRPr="00630664" w:rsidRDefault="00210E74" w:rsidP="005669B3">
            <w:pPr>
              <w:pStyle w:val="table-text"/>
              <w:tabs>
                <w:tab w:val="decimal" w:pos="606"/>
              </w:tabs>
            </w:pPr>
            <w:r w:rsidRPr="00630664">
              <w:t>457</w:t>
            </w:r>
          </w:p>
        </w:tc>
        <w:tc>
          <w:tcPr>
            <w:tcW w:w="1170" w:type="dxa"/>
          </w:tcPr>
          <w:p w14:paraId="33206548" w14:textId="77777777" w:rsidR="00210E74" w:rsidRPr="00630664" w:rsidRDefault="00210E74" w:rsidP="005669B3">
            <w:pPr>
              <w:pStyle w:val="table-text"/>
              <w:tabs>
                <w:tab w:val="decimal" w:pos="606"/>
              </w:tabs>
            </w:pPr>
            <w:r w:rsidRPr="00630664">
              <w:t>864</w:t>
            </w:r>
          </w:p>
        </w:tc>
        <w:tc>
          <w:tcPr>
            <w:tcW w:w="1170" w:type="dxa"/>
          </w:tcPr>
          <w:p w14:paraId="7CDA5B10" w14:textId="77777777" w:rsidR="00210E74" w:rsidRPr="00630664" w:rsidRDefault="00210E74" w:rsidP="005669B3">
            <w:pPr>
              <w:pStyle w:val="table-text"/>
              <w:tabs>
                <w:tab w:val="decimal" w:pos="606"/>
              </w:tabs>
            </w:pPr>
            <w:r w:rsidRPr="00630664">
              <w:t>1,165</w:t>
            </w:r>
          </w:p>
        </w:tc>
        <w:tc>
          <w:tcPr>
            <w:tcW w:w="1170" w:type="dxa"/>
          </w:tcPr>
          <w:p w14:paraId="5FE461D5" w14:textId="77777777" w:rsidR="00210E74" w:rsidRPr="00630664" w:rsidRDefault="00210E74" w:rsidP="005669B3">
            <w:pPr>
              <w:pStyle w:val="table-text"/>
              <w:tabs>
                <w:tab w:val="decimal" w:pos="606"/>
              </w:tabs>
            </w:pPr>
            <w:r w:rsidRPr="00630664">
              <w:t>421</w:t>
            </w:r>
          </w:p>
        </w:tc>
      </w:tr>
      <w:tr w:rsidR="00210E74" w:rsidRPr="00846C44" w14:paraId="18019C9F" w14:textId="77777777" w:rsidTr="005669B3">
        <w:trPr>
          <w:cantSplit/>
        </w:trPr>
        <w:tc>
          <w:tcPr>
            <w:tcW w:w="3510" w:type="dxa"/>
          </w:tcPr>
          <w:p w14:paraId="662D5CE0" w14:textId="77777777" w:rsidR="00210E74" w:rsidRPr="00630664" w:rsidRDefault="00210E74" w:rsidP="005669B3">
            <w:pPr>
              <w:pStyle w:val="table-text"/>
            </w:pPr>
            <w:r w:rsidRPr="00630664">
              <w:t>Rating of Dialysis Center (Q35)</w:t>
            </w:r>
          </w:p>
        </w:tc>
        <w:tc>
          <w:tcPr>
            <w:tcW w:w="1170" w:type="dxa"/>
          </w:tcPr>
          <w:p w14:paraId="7550DAA8" w14:textId="77777777" w:rsidR="00210E74" w:rsidRPr="00630664" w:rsidRDefault="00210E74" w:rsidP="005669B3">
            <w:pPr>
              <w:pStyle w:val="table-text"/>
              <w:tabs>
                <w:tab w:val="decimal" w:pos="606"/>
              </w:tabs>
            </w:pPr>
            <w:r w:rsidRPr="00630664">
              <w:t>234</w:t>
            </w:r>
          </w:p>
        </w:tc>
        <w:tc>
          <w:tcPr>
            <w:tcW w:w="1170" w:type="dxa"/>
          </w:tcPr>
          <w:p w14:paraId="39E164B4" w14:textId="77777777" w:rsidR="00210E74" w:rsidRPr="00630664" w:rsidRDefault="00210E74" w:rsidP="005669B3">
            <w:pPr>
              <w:pStyle w:val="table-text"/>
              <w:tabs>
                <w:tab w:val="decimal" w:pos="606"/>
              </w:tabs>
            </w:pPr>
            <w:r w:rsidRPr="00630664">
              <w:t>420</w:t>
            </w:r>
          </w:p>
        </w:tc>
        <w:tc>
          <w:tcPr>
            <w:tcW w:w="1170" w:type="dxa"/>
          </w:tcPr>
          <w:p w14:paraId="16E12908" w14:textId="77777777" w:rsidR="00210E74" w:rsidRPr="00630664" w:rsidRDefault="00210E74" w:rsidP="005669B3">
            <w:pPr>
              <w:pStyle w:val="table-text"/>
              <w:tabs>
                <w:tab w:val="decimal" w:pos="606"/>
              </w:tabs>
            </w:pPr>
            <w:r w:rsidRPr="00630664">
              <w:t>783</w:t>
            </w:r>
          </w:p>
        </w:tc>
        <w:tc>
          <w:tcPr>
            <w:tcW w:w="1170" w:type="dxa"/>
          </w:tcPr>
          <w:p w14:paraId="56EFD100" w14:textId="77777777" w:rsidR="00210E74" w:rsidRPr="00630664" w:rsidRDefault="00210E74" w:rsidP="005669B3">
            <w:pPr>
              <w:pStyle w:val="table-text"/>
              <w:tabs>
                <w:tab w:val="decimal" w:pos="606"/>
              </w:tabs>
            </w:pPr>
            <w:r w:rsidRPr="00630664">
              <w:t>1,210</w:t>
            </w:r>
          </w:p>
        </w:tc>
        <w:tc>
          <w:tcPr>
            <w:tcW w:w="1170" w:type="dxa"/>
          </w:tcPr>
          <w:p w14:paraId="4931D693" w14:textId="77777777" w:rsidR="00210E74" w:rsidRPr="00630664" w:rsidRDefault="00210E74" w:rsidP="005669B3">
            <w:pPr>
              <w:pStyle w:val="table-text"/>
              <w:tabs>
                <w:tab w:val="decimal" w:pos="606"/>
              </w:tabs>
            </w:pPr>
            <w:r w:rsidRPr="00630664">
              <w:t>515</w:t>
            </w:r>
          </w:p>
        </w:tc>
      </w:tr>
      <w:tr w:rsidR="00210E74" w:rsidRPr="00846C44" w14:paraId="1C11BB30" w14:textId="77777777" w:rsidTr="005669B3">
        <w:trPr>
          <w:cantSplit/>
        </w:trPr>
        <w:tc>
          <w:tcPr>
            <w:tcW w:w="3510" w:type="dxa"/>
          </w:tcPr>
          <w:p w14:paraId="10E243BA" w14:textId="77777777" w:rsidR="00210E74" w:rsidRPr="00630664" w:rsidRDefault="00210E74" w:rsidP="005669B3">
            <w:pPr>
              <w:pStyle w:val="table-text"/>
            </w:pPr>
            <w:r w:rsidRPr="00630664">
              <w:t>Communication and Caring Composite</w:t>
            </w:r>
          </w:p>
        </w:tc>
        <w:tc>
          <w:tcPr>
            <w:tcW w:w="1170" w:type="dxa"/>
          </w:tcPr>
          <w:p w14:paraId="534CE061" w14:textId="77777777" w:rsidR="00210E74" w:rsidRPr="00630664" w:rsidRDefault="00210E74" w:rsidP="005669B3">
            <w:pPr>
              <w:pStyle w:val="table-text"/>
              <w:tabs>
                <w:tab w:val="decimal" w:pos="606"/>
              </w:tabs>
            </w:pPr>
            <w:r w:rsidRPr="00630664">
              <w:t>245</w:t>
            </w:r>
          </w:p>
        </w:tc>
        <w:tc>
          <w:tcPr>
            <w:tcW w:w="1170" w:type="dxa"/>
          </w:tcPr>
          <w:p w14:paraId="4748D0B7" w14:textId="77777777" w:rsidR="00210E74" w:rsidRPr="00630664" w:rsidRDefault="00210E74" w:rsidP="005669B3">
            <w:pPr>
              <w:pStyle w:val="table-text"/>
              <w:tabs>
                <w:tab w:val="decimal" w:pos="606"/>
              </w:tabs>
            </w:pPr>
            <w:r w:rsidRPr="00630664">
              <w:t>805</w:t>
            </w:r>
          </w:p>
        </w:tc>
        <w:tc>
          <w:tcPr>
            <w:tcW w:w="1170" w:type="dxa"/>
          </w:tcPr>
          <w:p w14:paraId="4F7BD066" w14:textId="77777777" w:rsidR="00210E74" w:rsidRPr="00630664" w:rsidRDefault="00210E74" w:rsidP="005669B3">
            <w:pPr>
              <w:pStyle w:val="table-text"/>
              <w:tabs>
                <w:tab w:val="decimal" w:pos="606"/>
              </w:tabs>
            </w:pPr>
            <w:r w:rsidRPr="00630664">
              <w:t>743</w:t>
            </w:r>
          </w:p>
        </w:tc>
        <w:tc>
          <w:tcPr>
            <w:tcW w:w="1170" w:type="dxa"/>
          </w:tcPr>
          <w:p w14:paraId="5BF6C3AD" w14:textId="77777777" w:rsidR="00210E74" w:rsidRPr="00630664" w:rsidRDefault="00210E74" w:rsidP="005669B3">
            <w:pPr>
              <w:pStyle w:val="table-text"/>
              <w:tabs>
                <w:tab w:val="decimal" w:pos="606"/>
              </w:tabs>
            </w:pPr>
            <w:r w:rsidRPr="00630664">
              <w:t>1,048</w:t>
            </w:r>
          </w:p>
        </w:tc>
        <w:tc>
          <w:tcPr>
            <w:tcW w:w="1170" w:type="dxa"/>
          </w:tcPr>
          <w:p w14:paraId="24BDAFE5" w14:textId="77777777" w:rsidR="00210E74" w:rsidRPr="00630664" w:rsidRDefault="00210E74" w:rsidP="005669B3">
            <w:pPr>
              <w:pStyle w:val="table-text"/>
              <w:tabs>
                <w:tab w:val="decimal" w:pos="606"/>
              </w:tabs>
            </w:pPr>
            <w:r w:rsidRPr="00630664">
              <w:t>321</w:t>
            </w:r>
          </w:p>
        </w:tc>
      </w:tr>
      <w:tr w:rsidR="00210E74" w:rsidRPr="00846C44" w14:paraId="4F56685A" w14:textId="77777777" w:rsidTr="005669B3">
        <w:trPr>
          <w:cantSplit/>
        </w:trPr>
        <w:tc>
          <w:tcPr>
            <w:tcW w:w="3510" w:type="dxa"/>
            <w:tcBorders>
              <w:bottom w:val="nil"/>
            </w:tcBorders>
          </w:tcPr>
          <w:p w14:paraId="6F46CF7D" w14:textId="77777777" w:rsidR="00210E74" w:rsidRPr="00630664" w:rsidRDefault="00210E74" w:rsidP="005669B3">
            <w:pPr>
              <w:pStyle w:val="table-text"/>
            </w:pPr>
            <w:r w:rsidRPr="00630664">
              <w:t>Quality and Operations Composite</w:t>
            </w:r>
          </w:p>
        </w:tc>
        <w:tc>
          <w:tcPr>
            <w:tcW w:w="1170" w:type="dxa"/>
            <w:tcBorders>
              <w:bottom w:val="nil"/>
            </w:tcBorders>
          </w:tcPr>
          <w:p w14:paraId="0A92F150" w14:textId="77777777" w:rsidR="00210E74" w:rsidRPr="00630664" w:rsidRDefault="00210E74" w:rsidP="005669B3">
            <w:pPr>
              <w:pStyle w:val="table-text"/>
              <w:tabs>
                <w:tab w:val="decimal" w:pos="606"/>
              </w:tabs>
            </w:pPr>
            <w:r w:rsidRPr="00630664">
              <w:t>249</w:t>
            </w:r>
          </w:p>
        </w:tc>
        <w:tc>
          <w:tcPr>
            <w:tcW w:w="1170" w:type="dxa"/>
            <w:tcBorders>
              <w:bottom w:val="nil"/>
            </w:tcBorders>
          </w:tcPr>
          <w:p w14:paraId="42404A20" w14:textId="77777777" w:rsidR="00210E74" w:rsidRPr="00630664" w:rsidRDefault="00210E74" w:rsidP="005669B3">
            <w:pPr>
              <w:pStyle w:val="table-text"/>
              <w:tabs>
                <w:tab w:val="decimal" w:pos="606"/>
              </w:tabs>
            </w:pPr>
            <w:r w:rsidRPr="00630664">
              <w:t>507</w:t>
            </w:r>
          </w:p>
        </w:tc>
        <w:tc>
          <w:tcPr>
            <w:tcW w:w="1170" w:type="dxa"/>
            <w:tcBorders>
              <w:bottom w:val="nil"/>
            </w:tcBorders>
          </w:tcPr>
          <w:p w14:paraId="37689314" w14:textId="77777777" w:rsidR="00210E74" w:rsidRPr="00630664" w:rsidRDefault="00210E74" w:rsidP="005669B3">
            <w:pPr>
              <w:pStyle w:val="table-text"/>
              <w:tabs>
                <w:tab w:val="decimal" w:pos="606"/>
              </w:tabs>
            </w:pPr>
            <w:r w:rsidRPr="00630664">
              <w:t>858</w:t>
            </w:r>
          </w:p>
        </w:tc>
        <w:tc>
          <w:tcPr>
            <w:tcW w:w="1170" w:type="dxa"/>
            <w:tcBorders>
              <w:bottom w:val="nil"/>
            </w:tcBorders>
          </w:tcPr>
          <w:p w14:paraId="41DF3DDB" w14:textId="77777777" w:rsidR="00210E74" w:rsidRPr="00630664" w:rsidRDefault="00210E74" w:rsidP="005669B3">
            <w:pPr>
              <w:pStyle w:val="table-text"/>
              <w:tabs>
                <w:tab w:val="decimal" w:pos="606"/>
              </w:tabs>
            </w:pPr>
            <w:r w:rsidRPr="00630664">
              <w:t>917</w:t>
            </w:r>
          </w:p>
        </w:tc>
        <w:tc>
          <w:tcPr>
            <w:tcW w:w="1170" w:type="dxa"/>
            <w:tcBorders>
              <w:bottom w:val="nil"/>
            </w:tcBorders>
          </w:tcPr>
          <w:p w14:paraId="2C54E15D" w14:textId="77777777" w:rsidR="00210E74" w:rsidRPr="00630664" w:rsidRDefault="00210E74" w:rsidP="005669B3">
            <w:pPr>
              <w:pStyle w:val="table-text"/>
              <w:tabs>
                <w:tab w:val="decimal" w:pos="606"/>
              </w:tabs>
            </w:pPr>
            <w:r w:rsidRPr="00630664">
              <w:t>631</w:t>
            </w:r>
          </w:p>
        </w:tc>
      </w:tr>
      <w:tr w:rsidR="00210E74" w:rsidRPr="00846C44" w14:paraId="0AD7B39A" w14:textId="77777777" w:rsidTr="005669B3">
        <w:trPr>
          <w:cantSplit/>
        </w:trPr>
        <w:tc>
          <w:tcPr>
            <w:tcW w:w="3510" w:type="dxa"/>
            <w:tcBorders>
              <w:top w:val="nil"/>
              <w:bottom w:val="single" w:sz="4" w:space="0" w:color="auto"/>
            </w:tcBorders>
          </w:tcPr>
          <w:p w14:paraId="40EE2E0B" w14:textId="77777777" w:rsidR="00210E74" w:rsidRPr="00630664" w:rsidRDefault="00210E74" w:rsidP="005669B3">
            <w:pPr>
              <w:pStyle w:val="table-text"/>
            </w:pPr>
            <w:r w:rsidRPr="00630664">
              <w:t>Providing Information Composite</w:t>
            </w:r>
          </w:p>
        </w:tc>
        <w:tc>
          <w:tcPr>
            <w:tcW w:w="1170" w:type="dxa"/>
            <w:tcBorders>
              <w:top w:val="nil"/>
              <w:bottom w:val="single" w:sz="4" w:space="0" w:color="auto"/>
            </w:tcBorders>
          </w:tcPr>
          <w:p w14:paraId="0C6944AD" w14:textId="77777777" w:rsidR="00210E74" w:rsidRPr="00630664" w:rsidRDefault="00210E74" w:rsidP="005669B3">
            <w:pPr>
              <w:pStyle w:val="table-text"/>
              <w:tabs>
                <w:tab w:val="decimal" w:pos="606"/>
              </w:tabs>
            </w:pPr>
            <w:r w:rsidRPr="00630664">
              <w:t>366</w:t>
            </w:r>
          </w:p>
        </w:tc>
        <w:tc>
          <w:tcPr>
            <w:tcW w:w="1170" w:type="dxa"/>
            <w:tcBorders>
              <w:top w:val="nil"/>
              <w:bottom w:val="single" w:sz="4" w:space="0" w:color="auto"/>
            </w:tcBorders>
          </w:tcPr>
          <w:p w14:paraId="3D7C4ACF" w14:textId="77777777" w:rsidR="00210E74" w:rsidRPr="00630664" w:rsidRDefault="00210E74" w:rsidP="005669B3">
            <w:pPr>
              <w:pStyle w:val="table-text"/>
              <w:tabs>
                <w:tab w:val="decimal" w:pos="606"/>
              </w:tabs>
            </w:pPr>
            <w:r w:rsidRPr="00630664">
              <w:t>569</w:t>
            </w:r>
          </w:p>
        </w:tc>
        <w:tc>
          <w:tcPr>
            <w:tcW w:w="1170" w:type="dxa"/>
            <w:tcBorders>
              <w:top w:val="nil"/>
              <w:bottom w:val="single" w:sz="4" w:space="0" w:color="auto"/>
            </w:tcBorders>
          </w:tcPr>
          <w:p w14:paraId="644EB63F" w14:textId="77777777" w:rsidR="00210E74" w:rsidRPr="00630664" w:rsidRDefault="00210E74" w:rsidP="005669B3">
            <w:pPr>
              <w:pStyle w:val="table-text"/>
              <w:tabs>
                <w:tab w:val="decimal" w:pos="606"/>
              </w:tabs>
            </w:pPr>
            <w:r w:rsidRPr="00630664">
              <w:t>580</w:t>
            </w:r>
          </w:p>
        </w:tc>
        <w:tc>
          <w:tcPr>
            <w:tcW w:w="1170" w:type="dxa"/>
            <w:tcBorders>
              <w:top w:val="nil"/>
              <w:bottom w:val="single" w:sz="4" w:space="0" w:color="auto"/>
            </w:tcBorders>
          </w:tcPr>
          <w:p w14:paraId="3AB280EE" w14:textId="77777777" w:rsidR="00210E74" w:rsidRPr="00630664" w:rsidRDefault="00210E74" w:rsidP="005669B3">
            <w:pPr>
              <w:pStyle w:val="table-text"/>
              <w:tabs>
                <w:tab w:val="decimal" w:pos="606"/>
              </w:tabs>
            </w:pPr>
            <w:r w:rsidRPr="00630664">
              <w:t>823</w:t>
            </w:r>
          </w:p>
        </w:tc>
        <w:tc>
          <w:tcPr>
            <w:tcW w:w="1170" w:type="dxa"/>
            <w:tcBorders>
              <w:top w:val="nil"/>
              <w:bottom w:val="single" w:sz="4" w:space="0" w:color="auto"/>
            </w:tcBorders>
          </w:tcPr>
          <w:p w14:paraId="6D08EF78" w14:textId="77777777" w:rsidR="00210E74" w:rsidRPr="00630664" w:rsidRDefault="00210E74" w:rsidP="005669B3">
            <w:pPr>
              <w:pStyle w:val="table-text"/>
              <w:tabs>
                <w:tab w:val="decimal" w:pos="606"/>
              </w:tabs>
            </w:pPr>
            <w:r w:rsidRPr="00630664">
              <w:t>824</w:t>
            </w:r>
          </w:p>
        </w:tc>
      </w:tr>
      <w:tr w:rsidR="00210E74" w:rsidRPr="00846C44" w14:paraId="793AE50D" w14:textId="77777777" w:rsidTr="005669B3">
        <w:trPr>
          <w:cantSplit/>
        </w:trPr>
        <w:tc>
          <w:tcPr>
            <w:tcW w:w="3510" w:type="dxa"/>
            <w:tcBorders>
              <w:top w:val="single" w:sz="4" w:space="0" w:color="auto"/>
              <w:bottom w:val="single" w:sz="12" w:space="0" w:color="auto"/>
            </w:tcBorders>
          </w:tcPr>
          <w:p w14:paraId="1011C8BB" w14:textId="77777777" w:rsidR="00210E74" w:rsidRPr="00630664" w:rsidRDefault="00210E74" w:rsidP="005669B3">
            <w:pPr>
              <w:pStyle w:val="table-text"/>
            </w:pPr>
            <w:r w:rsidRPr="00630664">
              <w:t>Survey Summary Star Rating</w:t>
            </w:r>
          </w:p>
        </w:tc>
        <w:tc>
          <w:tcPr>
            <w:tcW w:w="1170" w:type="dxa"/>
            <w:tcBorders>
              <w:top w:val="single" w:sz="4" w:space="0" w:color="auto"/>
              <w:bottom w:val="single" w:sz="12" w:space="0" w:color="auto"/>
            </w:tcBorders>
          </w:tcPr>
          <w:p w14:paraId="154E60BD" w14:textId="77777777" w:rsidR="00210E74" w:rsidRPr="00630664" w:rsidRDefault="00210E74" w:rsidP="005669B3">
            <w:pPr>
              <w:pStyle w:val="table-text"/>
              <w:tabs>
                <w:tab w:val="decimal" w:pos="606"/>
              </w:tabs>
            </w:pPr>
            <w:r w:rsidRPr="00630664">
              <w:t>74</w:t>
            </w:r>
          </w:p>
        </w:tc>
        <w:tc>
          <w:tcPr>
            <w:tcW w:w="1170" w:type="dxa"/>
            <w:tcBorders>
              <w:top w:val="single" w:sz="4" w:space="0" w:color="auto"/>
              <w:bottom w:val="single" w:sz="12" w:space="0" w:color="auto"/>
            </w:tcBorders>
          </w:tcPr>
          <w:p w14:paraId="7AE1EBFA" w14:textId="77777777" w:rsidR="00210E74" w:rsidRPr="00630664" w:rsidRDefault="00210E74" w:rsidP="005669B3">
            <w:pPr>
              <w:pStyle w:val="table-text"/>
              <w:tabs>
                <w:tab w:val="decimal" w:pos="606"/>
              </w:tabs>
            </w:pPr>
            <w:r w:rsidRPr="00630664">
              <w:t>492</w:t>
            </w:r>
          </w:p>
        </w:tc>
        <w:tc>
          <w:tcPr>
            <w:tcW w:w="1170" w:type="dxa"/>
            <w:tcBorders>
              <w:top w:val="single" w:sz="4" w:space="0" w:color="auto"/>
              <w:bottom w:val="single" w:sz="12" w:space="0" w:color="auto"/>
            </w:tcBorders>
          </w:tcPr>
          <w:p w14:paraId="4826D44D" w14:textId="77777777" w:rsidR="00210E74" w:rsidRPr="00630664" w:rsidRDefault="00210E74" w:rsidP="005669B3">
            <w:pPr>
              <w:pStyle w:val="table-text"/>
              <w:tabs>
                <w:tab w:val="decimal" w:pos="606"/>
              </w:tabs>
            </w:pPr>
            <w:r w:rsidRPr="00630664">
              <w:t>1,021</w:t>
            </w:r>
          </w:p>
        </w:tc>
        <w:tc>
          <w:tcPr>
            <w:tcW w:w="1170" w:type="dxa"/>
            <w:tcBorders>
              <w:top w:val="single" w:sz="4" w:space="0" w:color="auto"/>
              <w:bottom w:val="single" w:sz="12" w:space="0" w:color="auto"/>
            </w:tcBorders>
          </w:tcPr>
          <w:p w14:paraId="14AB58D4" w14:textId="77777777" w:rsidR="00210E74" w:rsidRPr="00630664" w:rsidRDefault="00210E74" w:rsidP="005669B3">
            <w:pPr>
              <w:pStyle w:val="table-text"/>
              <w:tabs>
                <w:tab w:val="decimal" w:pos="606"/>
              </w:tabs>
            </w:pPr>
            <w:r w:rsidRPr="00630664">
              <w:t>1,157</w:t>
            </w:r>
          </w:p>
        </w:tc>
        <w:tc>
          <w:tcPr>
            <w:tcW w:w="1170" w:type="dxa"/>
            <w:tcBorders>
              <w:top w:val="single" w:sz="4" w:space="0" w:color="auto"/>
              <w:bottom w:val="single" w:sz="12" w:space="0" w:color="auto"/>
            </w:tcBorders>
          </w:tcPr>
          <w:p w14:paraId="0C7B821A" w14:textId="77777777" w:rsidR="00210E74" w:rsidRPr="00630664" w:rsidRDefault="00210E74" w:rsidP="005669B3">
            <w:pPr>
              <w:pStyle w:val="table-text"/>
              <w:tabs>
                <w:tab w:val="decimal" w:pos="606"/>
              </w:tabs>
            </w:pPr>
            <w:r w:rsidRPr="00630664">
              <w:t>418</w:t>
            </w:r>
          </w:p>
        </w:tc>
      </w:tr>
    </w:tbl>
    <w:p w14:paraId="63721A1C" w14:textId="77777777" w:rsidR="00210E74" w:rsidRDefault="00210E74" w:rsidP="00210E74">
      <w:pPr>
        <w:pStyle w:val="table-sourcestd"/>
      </w:pPr>
      <w:bookmarkStart w:id="67" w:name="page8"/>
      <w:bookmarkEnd w:id="67"/>
    </w:p>
    <w:p w14:paraId="39FECC11" w14:textId="77777777" w:rsidR="001758D8" w:rsidRDefault="001758D8"/>
    <w:sectPr w:rsidR="001758D8" w:rsidSect="005669B3">
      <w:footerReference w:type="default" r:id="rId9"/>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6710" w14:textId="77777777" w:rsidR="00C16DB8" w:rsidRDefault="00C16DB8" w:rsidP="00210E74">
      <w:r>
        <w:separator/>
      </w:r>
    </w:p>
  </w:endnote>
  <w:endnote w:type="continuationSeparator" w:id="0">
    <w:p w14:paraId="14BEEBBE" w14:textId="77777777" w:rsidR="00C16DB8" w:rsidRDefault="00C16DB8" w:rsidP="002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C8DA" w14:textId="77777777" w:rsidR="00C16DB8" w:rsidRDefault="00C16DB8" w:rsidP="005669B3">
    <w:pPr>
      <w:jc w:val="center"/>
    </w:pPr>
    <w:r>
      <w:fldChar w:fldCharType="begin"/>
    </w:r>
    <w:r>
      <w:instrText xml:space="preserve"> PAGE </w:instrText>
    </w:r>
    <w:r>
      <w:fldChar w:fldCharType="separate"/>
    </w:r>
    <w:r>
      <w:rPr>
        <w:noProof/>
      </w:rPr>
      <w:t>10</w:t>
    </w:r>
    <w:r>
      <w:fldChar w:fldCharType="end"/>
    </w:r>
    <w:r>
      <w:rPr>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C628" w14:textId="77777777" w:rsidR="00C16DB8" w:rsidRDefault="00C16DB8" w:rsidP="005669B3">
    <w:pPr>
      <w:jc w:val="center"/>
    </w:pPr>
    <w:r>
      <w:fldChar w:fldCharType="begin"/>
    </w:r>
    <w:r>
      <w:instrText xml:space="preserve"> PAGE </w:instrText>
    </w:r>
    <w:r>
      <w:fldChar w:fldCharType="separate"/>
    </w:r>
    <w:r>
      <w:rPr>
        <w:noProof/>
      </w:rPr>
      <w:t>11</w:t>
    </w:r>
    <w:r>
      <w:fldChar w:fldCharType="end"/>
    </w:r>
    <w:r>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6BF7" w14:textId="77777777" w:rsidR="00C16DB8" w:rsidRDefault="00C16DB8" w:rsidP="00210E74">
      <w:r>
        <w:separator/>
      </w:r>
    </w:p>
  </w:footnote>
  <w:footnote w:type="continuationSeparator" w:id="0">
    <w:p w14:paraId="15ECE6EA" w14:textId="77777777" w:rsidR="00C16DB8" w:rsidRDefault="00C16DB8" w:rsidP="00210E74">
      <w:r>
        <w:continuationSeparator/>
      </w:r>
    </w:p>
  </w:footnote>
  <w:footnote w:id="1">
    <w:p w14:paraId="1A30511D" w14:textId="426D872F" w:rsidR="00C16DB8" w:rsidRDefault="00C16DB8">
      <w:pPr>
        <w:pStyle w:val="FootnoteText"/>
      </w:pPr>
      <w:r>
        <w:rPr>
          <w:rStyle w:val="FootnoteReference"/>
        </w:rPr>
        <w:t>*</w:t>
      </w:r>
      <w:r>
        <w:t xml:space="preserve"> </w:t>
      </w:r>
      <w:r w:rsidRPr="007F3F0F">
        <w:t>For Q21, response option 5 (“I insert my own needles”) is coded as missing and not included when calculating the composite.</w:t>
      </w:r>
    </w:p>
  </w:footnote>
  <w:footnote w:id="2">
    <w:p w14:paraId="229D6C02" w14:textId="201EBE26" w:rsidR="00C16DB8" w:rsidRDefault="00C16DB8" w:rsidP="00021B05">
      <w:pPr>
        <w:pStyle w:val="FootnoteText"/>
        <w:ind w:left="0" w:firstLine="0"/>
      </w:pPr>
    </w:p>
  </w:footnote>
  <w:footnote w:id="3">
    <w:p w14:paraId="2B607DB6" w14:textId="77777777" w:rsidR="00C16DB8" w:rsidRDefault="00C16DB8" w:rsidP="00210E74">
      <w:pPr>
        <w:pStyle w:val="FootnoteText"/>
      </w:pPr>
      <w:r>
        <w:rPr>
          <w:rStyle w:val="FootnoteReference"/>
        </w:rPr>
        <w:footnoteRef/>
      </w:r>
      <w:r>
        <w:t xml:space="preserve"> Hubert, M., &amp; Vandervieren, E. </w:t>
      </w:r>
      <w:r w:rsidRPr="00D23B70">
        <w:t xml:space="preserve">(2008). An adjusted boxplot for skewed distributions. </w:t>
      </w:r>
      <w:r w:rsidRPr="00D23B70">
        <w:rPr>
          <w:i/>
        </w:rPr>
        <w:t>Computational Statistics &amp; Data Analysis Archive, 52</w:t>
      </w:r>
      <w:r>
        <w:t xml:space="preserve">(12), 5186-5201. </w:t>
      </w:r>
      <w:r w:rsidRPr="00D23B70">
        <w:t>doi:10.1016/j.csda.2007.11.008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70665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42C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D41E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583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F2BE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D8C5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2C7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EC28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72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FCD3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A8C"/>
    <w:multiLevelType w:val="multilevel"/>
    <w:tmpl w:val="9A18365E"/>
    <w:lvl w:ilvl="0">
      <w:start w:val="1"/>
      <w:numFmt w:val="decimal"/>
      <w:pStyle w:val="Heading1"/>
      <w:suff w:val="nothing"/>
      <w:lvlText w:val="Section %1."/>
      <w:lvlJc w:val="left"/>
      <w:pPr>
        <w:ind w:left="93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912B7"/>
    <w:multiLevelType w:val="hybridMultilevel"/>
    <w:tmpl w:val="40601506"/>
    <w:lvl w:ilvl="0" w:tplc="C34A5EF4">
      <w:start w:val="1"/>
      <w:numFmt w:val="bullet"/>
      <w:lvlText w:val="•"/>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16939"/>
    <w:multiLevelType w:val="hybridMultilevel"/>
    <w:tmpl w:val="A1D03FBC"/>
    <w:lvl w:ilvl="0" w:tplc="AB3838C0">
      <w:start w:val="1"/>
      <w:numFmt w:val="bullet"/>
      <w:lvlText w:val="•"/>
      <w:lvlJc w:val="left"/>
      <w:pPr>
        <w:ind w:left="576" w:hanging="288"/>
      </w:pPr>
      <w:rPr>
        <w:rFonts w:ascii="Times New Roman" w:hAnsi="Times New Roman" w:cs="Times New Roman" w:hint="default"/>
        <w:sz w:val="24"/>
        <w:szCs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12631429"/>
    <w:multiLevelType w:val="hybridMultilevel"/>
    <w:tmpl w:val="674E8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322AB9"/>
    <w:multiLevelType w:val="hybridMultilevel"/>
    <w:tmpl w:val="9D8EB7EA"/>
    <w:lvl w:ilvl="0" w:tplc="224AD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D66D0"/>
    <w:multiLevelType w:val="hybridMultilevel"/>
    <w:tmpl w:val="3884A5AC"/>
    <w:lvl w:ilvl="0" w:tplc="224AD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8539B"/>
    <w:multiLevelType w:val="hybridMultilevel"/>
    <w:tmpl w:val="6756BB3C"/>
    <w:lvl w:ilvl="0" w:tplc="224AD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F941AC"/>
    <w:multiLevelType w:val="hybridMultilevel"/>
    <w:tmpl w:val="860E341E"/>
    <w:lvl w:ilvl="0" w:tplc="E19CA0F8">
      <w:start w:val="1"/>
      <w:numFmt w:val="bullet"/>
      <w:lvlText w:val="–"/>
      <w:lvlJc w:val="left"/>
      <w:pPr>
        <w:tabs>
          <w:tab w:val="num" w:pos="1440"/>
        </w:tabs>
        <w:ind w:left="144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03878"/>
    <w:multiLevelType w:val="hybridMultilevel"/>
    <w:tmpl w:val="29283E8C"/>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063024"/>
    <w:multiLevelType w:val="multilevel"/>
    <w:tmpl w:val="EE2EDF2A"/>
    <w:lvl w:ilvl="0">
      <w:start w:val="1"/>
      <w:numFmt w:val="bullet"/>
      <w:lvlText w:val="•"/>
      <w:lvlJc w:val="left"/>
      <w:pPr>
        <w:ind w:left="36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145615"/>
    <w:multiLevelType w:val="multilevel"/>
    <w:tmpl w:val="8C7AC284"/>
    <w:lvl w:ilvl="0">
      <w:start w:val="1"/>
      <w:numFmt w:val="decimal"/>
      <w:lvlText w:val="%1."/>
      <w:lvlJc w:val="left"/>
      <w:pPr>
        <w:ind w:left="108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3E550B0F"/>
    <w:multiLevelType w:val="multilevel"/>
    <w:tmpl w:val="04AA26A4"/>
    <w:lvl w:ilvl="0">
      <w:start w:val="1"/>
      <w:numFmt w:val="bullet"/>
      <w:pStyle w:val="bullets"/>
      <w:lvlText w:val="•"/>
      <w:lvlJc w:val="left"/>
      <w:pPr>
        <w:ind w:left="1080" w:hanging="360"/>
      </w:pPr>
      <w:rPr>
        <w:rFonts w:ascii="Arial" w:hAnsi="Aria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033202B"/>
    <w:multiLevelType w:val="multilevel"/>
    <w:tmpl w:val="45EE4B46"/>
    <w:lvl w:ilvl="0">
      <w:start w:val="1"/>
      <w:numFmt w:val="decimal"/>
      <w:suff w:val="nothing"/>
      <w:lvlText w:val="Section %1."/>
      <w:lvlJc w:val="left"/>
      <w:pPr>
        <w:ind w:left="936"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440" w:hanging="72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E536E9"/>
    <w:multiLevelType w:val="hybridMultilevel"/>
    <w:tmpl w:val="24C60714"/>
    <w:lvl w:ilvl="0" w:tplc="7B7CCCD2">
      <w:start w:val="1"/>
      <w:numFmt w:val="bullet"/>
      <w:lvlText w:val="–"/>
      <w:lvlJc w:val="left"/>
      <w:pPr>
        <w:tabs>
          <w:tab w:val="num" w:pos="576"/>
        </w:tabs>
        <w:ind w:left="576" w:hanging="288"/>
      </w:pPr>
      <w:rPr>
        <w:rFonts w:ascii="Verdana" w:hAnsi="Verdana" w:cs="Tahoma" w:hint="default"/>
        <w:b w:val="0"/>
        <w:i w:val="0"/>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93405C5"/>
    <w:multiLevelType w:val="multilevel"/>
    <w:tmpl w:val="0EE01BA6"/>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49673EFB"/>
    <w:multiLevelType w:val="hybridMultilevel"/>
    <w:tmpl w:val="92D6BD26"/>
    <w:lvl w:ilvl="0" w:tplc="224AD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76CED"/>
    <w:multiLevelType w:val="hybridMultilevel"/>
    <w:tmpl w:val="1C625134"/>
    <w:lvl w:ilvl="0" w:tplc="0CB828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8600B"/>
    <w:multiLevelType w:val="multilevel"/>
    <w:tmpl w:val="E9446502"/>
    <w:lvl w:ilvl="0">
      <w:start w:val="1"/>
      <w:numFmt w:val="bullet"/>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21A0708"/>
    <w:multiLevelType w:val="hybridMultilevel"/>
    <w:tmpl w:val="7B7E0016"/>
    <w:lvl w:ilvl="0" w:tplc="224AD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D5A67"/>
    <w:multiLevelType w:val="hybridMultilevel"/>
    <w:tmpl w:val="3DE28E08"/>
    <w:lvl w:ilvl="0" w:tplc="224AD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5F0CC0"/>
    <w:multiLevelType w:val="hybridMultilevel"/>
    <w:tmpl w:val="420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221FF6"/>
    <w:multiLevelType w:val="hybridMultilevel"/>
    <w:tmpl w:val="578C016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5A64A0"/>
    <w:multiLevelType w:val="hybridMultilevel"/>
    <w:tmpl w:val="20C0D864"/>
    <w:lvl w:ilvl="0" w:tplc="224AD9A6">
      <w:start w:val="1"/>
      <w:numFmt w:val="decimal"/>
      <w:lvlText w:val="%1."/>
      <w:lvlJc w:val="left"/>
      <w:pPr>
        <w:ind w:left="720" w:hanging="360"/>
      </w:pPr>
      <w:rPr>
        <w:rFonts w:hint="default"/>
        <w:color w:val="auto"/>
      </w:rPr>
    </w:lvl>
    <w:lvl w:ilvl="1" w:tplc="0D90B4E6">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15B37"/>
    <w:multiLevelType w:val="hybridMultilevel"/>
    <w:tmpl w:val="BA5E45AE"/>
    <w:lvl w:ilvl="0" w:tplc="BB16C628">
      <w:start w:val="1"/>
      <w:numFmt w:val="bullet"/>
      <w:lvlText w:val="▪"/>
      <w:lvlJc w:val="left"/>
      <w:pPr>
        <w:ind w:left="1800" w:hanging="360"/>
      </w:pPr>
      <w:rPr>
        <w:rFonts w:ascii="Arial" w:hAnsi="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555D4"/>
    <w:multiLevelType w:val="hybridMultilevel"/>
    <w:tmpl w:val="A39AD0F0"/>
    <w:lvl w:ilvl="0" w:tplc="0546950E">
      <w:numFmt w:val="bullet"/>
      <w:lvlText w:val="-"/>
      <w:lvlJc w:val="left"/>
      <w:pPr>
        <w:ind w:left="720" w:hanging="360"/>
      </w:pPr>
      <w:rPr>
        <w:rFonts w:ascii="Calibri Light" w:eastAsia="Calibri" w:hAnsi="Calibri Ligh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6"/>
  </w:num>
  <w:num w:numId="4">
    <w:abstractNumId w:val="15"/>
  </w:num>
  <w:num w:numId="5">
    <w:abstractNumId w:val="26"/>
  </w:num>
  <w:num w:numId="6">
    <w:abstractNumId w:val="29"/>
  </w:num>
  <w:num w:numId="7">
    <w:abstractNumId w:val="33"/>
  </w:num>
  <w:num w:numId="8">
    <w:abstractNumId w:val="30"/>
  </w:num>
  <w:num w:numId="9">
    <w:abstractNumId w:val="31"/>
  </w:num>
  <w:num w:numId="10">
    <w:abstractNumId w:val="32"/>
  </w:num>
  <w:num w:numId="11">
    <w:abstractNumId w:val="19"/>
  </w:num>
  <w:num w:numId="12">
    <w:abstractNumId w:val="22"/>
  </w:num>
  <w:num w:numId="13">
    <w:abstractNumId w:val="18"/>
  </w:num>
  <w:num w:numId="14">
    <w:abstractNumId w:val="34"/>
  </w:num>
  <w:num w:numId="15">
    <w:abstractNumId w:val="24"/>
  </w:num>
  <w:num w:numId="16">
    <w:abstractNumId w:val="12"/>
  </w:num>
  <w:num w:numId="17">
    <w:abstractNumId w:val="20"/>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25"/>
  </w:num>
  <w:num w:numId="31">
    <w:abstractNumId w:val="28"/>
  </w:num>
  <w:num w:numId="32">
    <w:abstractNumId w:val="23"/>
  </w:num>
  <w:num w:numId="33">
    <w:abstractNumId w:val="21"/>
  </w:num>
  <w:num w:numId="34">
    <w:abstractNumId w:val="27"/>
  </w:num>
  <w:num w:numId="35">
    <w:abstractNumId w:val="11"/>
  </w:num>
  <w:num w:numId="36">
    <w:abstractNumId w:val="1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74"/>
    <w:rsid w:val="00021B05"/>
    <w:rsid w:val="000B3D7C"/>
    <w:rsid w:val="001758D8"/>
    <w:rsid w:val="00210E74"/>
    <w:rsid w:val="00251F0C"/>
    <w:rsid w:val="00270FEF"/>
    <w:rsid w:val="0028284B"/>
    <w:rsid w:val="002B31B7"/>
    <w:rsid w:val="003A76CA"/>
    <w:rsid w:val="004067A6"/>
    <w:rsid w:val="00466ACE"/>
    <w:rsid w:val="005536ED"/>
    <w:rsid w:val="005669B3"/>
    <w:rsid w:val="005C495F"/>
    <w:rsid w:val="00622FFE"/>
    <w:rsid w:val="006A7801"/>
    <w:rsid w:val="0074143D"/>
    <w:rsid w:val="007F3F0F"/>
    <w:rsid w:val="008A4310"/>
    <w:rsid w:val="00912DC2"/>
    <w:rsid w:val="009933AE"/>
    <w:rsid w:val="00A33D22"/>
    <w:rsid w:val="00AA41EA"/>
    <w:rsid w:val="00B7219D"/>
    <w:rsid w:val="00C16DB8"/>
    <w:rsid w:val="00C84022"/>
    <w:rsid w:val="00E05888"/>
    <w:rsid w:val="00E90F5C"/>
    <w:rsid w:val="00E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BE978"/>
  <w15:chartTrackingRefBased/>
  <w15:docId w15:val="{D1AD45C0-956F-45AD-A758-624AEE03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E74"/>
    <w:pPr>
      <w:spacing w:after="0" w:line="240" w:lineRule="auto"/>
    </w:pPr>
    <w:rPr>
      <w:rFonts w:ascii="Times New Roman" w:eastAsia="Times New Roman" w:hAnsi="Times New Roman" w:cs="Times New Roman"/>
      <w:sz w:val="24"/>
      <w:szCs w:val="20"/>
    </w:rPr>
  </w:style>
  <w:style w:type="paragraph" w:styleId="Heading1">
    <w:name w:val="heading 1"/>
    <w:basedOn w:val="Baseheading"/>
    <w:next w:val="BodyText"/>
    <w:link w:val="Heading1Char"/>
    <w:uiPriority w:val="9"/>
    <w:rsid w:val="00210E74"/>
    <w:pPr>
      <w:numPr>
        <w:numId w:val="36"/>
      </w:numPr>
      <w:snapToGrid w:val="0"/>
      <w:spacing w:after="180"/>
      <w:ind w:left="0" w:firstLine="0"/>
      <w:jc w:val="center"/>
    </w:pPr>
    <w:rPr>
      <w:caps/>
      <w:szCs w:val="24"/>
    </w:rPr>
  </w:style>
  <w:style w:type="paragraph" w:styleId="Heading2">
    <w:name w:val="heading 2"/>
    <w:basedOn w:val="Heading1"/>
    <w:next w:val="BodyText"/>
    <w:link w:val="Heading2Char"/>
    <w:uiPriority w:val="9"/>
    <w:qFormat/>
    <w:rsid w:val="00210E74"/>
    <w:pPr>
      <w:numPr>
        <w:numId w:val="0"/>
      </w:numPr>
      <w:outlineLvl w:val="1"/>
    </w:pPr>
  </w:style>
  <w:style w:type="paragraph" w:styleId="Heading3">
    <w:name w:val="heading 3"/>
    <w:basedOn w:val="Normal"/>
    <w:next w:val="Baseheading"/>
    <w:link w:val="Heading3Char"/>
    <w:uiPriority w:val="9"/>
    <w:qFormat/>
    <w:rsid w:val="00210E74"/>
    <w:pPr>
      <w:keepNext/>
      <w:spacing w:before="240" w:after="180"/>
      <w:ind w:left="720" w:hanging="720"/>
      <w:outlineLvl w:val="2"/>
    </w:pPr>
    <w:rPr>
      <w:b/>
    </w:rPr>
  </w:style>
  <w:style w:type="paragraph" w:styleId="Heading4">
    <w:name w:val="heading 4"/>
    <w:basedOn w:val="Heading3"/>
    <w:next w:val="Normal"/>
    <w:link w:val="Heading4Char"/>
    <w:uiPriority w:val="9"/>
    <w:unhideWhenUsed/>
    <w:qFormat/>
    <w:rsid w:val="00210E74"/>
    <w:pPr>
      <w:ind w:left="1440"/>
      <w:outlineLvl w:val="3"/>
    </w:pPr>
  </w:style>
  <w:style w:type="paragraph" w:styleId="Heading5">
    <w:name w:val="heading 5"/>
    <w:basedOn w:val="Heading4"/>
    <w:next w:val="Normal"/>
    <w:link w:val="Heading5Char"/>
    <w:uiPriority w:val="9"/>
    <w:unhideWhenUsed/>
    <w:qFormat/>
    <w:rsid w:val="00210E74"/>
    <w:pPr>
      <w:ind w:left="1080" w:hanging="360"/>
      <w:outlineLvl w:val="4"/>
    </w:pPr>
    <w:rPr>
      <w:i/>
    </w:rPr>
  </w:style>
  <w:style w:type="paragraph" w:styleId="Heading6">
    <w:name w:val="heading 6"/>
    <w:basedOn w:val="Normal"/>
    <w:next w:val="Normal"/>
    <w:link w:val="Heading6Char"/>
    <w:uiPriority w:val="9"/>
    <w:semiHidden/>
    <w:unhideWhenUsed/>
    <w:qFormat/>
    <w:rsid w:val="00210E7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0E7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0E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E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E74"/>
    <w:rPr>
      <w:rFonts w:ascii="Times New Roman" w:eastAsia="SimSun" w:hAnsi="Times New Roman" w:cs="Times New Roman"/>
      <w:b/>
      <w:caps/>
      <w:kern w:val="28"/>
      <w:sz w:val="24"/>
      <w:szCs w:val="24"/>
      <w:lang w:eastAsia="zh-CN"/>
    </w:rPr>
  </w:style>
  <w:style w:type="character" w:customStyle="1" w:styleId="Heading2Char">
    <w:name w:val="Heading 2 Char"/>
    <w:basedOn w:val="DefaultParagraphFont"/>
    <w:link w:val="Heading2"/>
    <w:uiPriority w:val="9"/>
    <w:rsid w:val="00210E74"/>
    <w:rPr>
      <w:rFonts w:ascii="Times New Roman" w:eastAsia="SimSun" w:hAnsi="Times New Roman" w:cs="Times New Roman"/>
      <w:b/>
      <w:caps/>
      <w:kern w:val="28"/>
      <w:sz w:val="24"/>
      <w:szCs w:val="24"/>
      <w:lang w:eastAsia="zh-CN"/>
    </w:rPr>
  </w:style>
  <w:style w:type="character" w:customStyle="1" w:styleId="Heading3Char">
    <w:name w:val="Heading 3 Char"/>
    <w:basedOn w:val="DefaultParagraphFont"/>
    <w:link w:val="Heading3"/>
    <w:uiPriority w:val="9"/>
    <w:rsid w:val="00210E74"/>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210E74"/>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210E74"/>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uiPriority w:val="9"/>
    <w:semiHidden/>
    <w:rsid w:val="00210E74"/>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210E74"/>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210E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0E74"/>
    <w:rPr>
      <w:rFonts w:asciiTheme="majorHAnsi" w:eastAsiaTheme="majorEastAsia" w:hAnsiTheme="majorHAnsi" w:cstheme="majorBidi"/>
      <w:i/>
      <w:iCs/>
      <w:color w:val="272727" w:themeColor="text1" w:themeTint="D8"/>
      <w:sz w:val="21"/>
      <w:szCs w:val="21"/>
    </w:rPr>
  </w:style>
  <w:style w:type="paragraph" w:customStyle="1" w:styleId="Baseheading">
    <w:name w:val="Base_heading"/>
    <w:rsid w:val="00210E74"/>
    <w:pPr>
      <w:keepNext/>
      <w:spacing w:before="240" w:after="240" w:line="240" w:lineRule="auto"/>
      <w:outlineLvl w:val="0"/>
    </w:pPr>
    <w:rPr>
      <w:rFonts w:ascii="Times New Roman" w:eastAsia="SimSun" w:hAnsi="Times New Roman" w:cs="Times New Roman"/>
      <w:b/>
      <w:kern w:val="28"/>
      <w:sz w:val="24"/>
      <w:lang w:eastAsia="zh-CN"/>
    </w:rPr>
  </w:style>
  <w:style w:type="paragraph" w:styleId="BodyText">
    <w:name w:val="Body Text"/>
    <w:basedOn w:val="Basetext"/>
    <w:link w:val="BodyTextChar"/>
    <w:uiPriority w:val="99"/>
    <w:rsid w:val="00210E74"/>
    <w:pPr>
      <w:spacing w:after="240"/>
      <w:ind w:firstLine="720"/>
    </w:pPr>
  </w:style>
  <w:style w:type="character" w:customStyle="1" w:styleId="BodyTextChar">
    <w:name w:val="Body Text Char"/>
    <w:basedOn w:val="DefaultParagraphFont"/>
    <w:link w:val="BodyText"/>
    <w:uiPriority w:val="99"/>
    <w:rsid w:val="00210E74"/>
    <w:rPr>
      <w:rFonts w:ascii="Times New Roman" w:eastAsia="SimSun" w:hAnsi="Times New Roman" w:cs="Times New Roman"/>
      <w:lang w:eastAsia="zh-CN"/>
    </w:rPr>
  </w:style>
  <w:style w:type="paragraph" w:customStyle="1" w:styleId="Basetext">
    <w:name w:val="Base_text"/>
    <w:rsid w:val="00210E74"/>
    <w:pPr>
      <w:spacing w:after="0" w:line="240" w:lineRule="auto"/>
    </w:pPr>
    <w:rPr>
      <w:rFonts w:ascii="Times New Roman" w:eastAsia="SimSun" w:hAnsi="Times New Roman" w:cs="Times New Roman"/>
      <w:lang w:eastAsia="zh-CN"/>
    </w:rPr>
  </w:style>
  <w:style w:type="paragraph" w:styleId="CommentText">
    <w:name w:val="annotation text"/>
    <w:basedOn w:val="Normal"/>
    <w:link w:val="CommentTextChar"/>
    <w:uiPriority w:val="99"/>
    <w:unhideWhenUsed/>
    <w:rsid w:val="00210E74"/>
    <w:rPr>
      <w:sz w:val="20"/>
    </w:rPr>
  </w:style>
  <w:style w:type="character" w:customStyle="1" w:styleId="CommentTextChar">
    <w:name w:val="Comment Text Char"/>
    <w:basedOn w:val="DefaultParagraphFont"/>
    <w:link w:val="CommentText"/>
    <w:uiPriority w:val="99"/>
    <w:rsid w:val="00210E7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0E74"/>
    <w:rPr>
      <w:sz w:val="16"/>
      <w:szCs w:val="16"/>
    </w:rPr>
  </w:style>
  <w:style w:type="paragraph" w:styleId="TOC2">
    <w:name w:val="toc 2"/>
    <w:basedOn w:val="Normal"/>
    <w:next w:val="Normal"/>
    <w:autoRedefine/>
    <w:uiPriority w:val="39"/>
    <w:unhideWhenUsed/>
    <w:rsid w:val="00210E74"/>
    <w:pPr>
      <w:spacing w:after="100"/>
      <w:ind w:left="720" w:right="576" w:hanging="360"/>
    </w:pPr>
    <w:rPr>
      <w:color w:val="3333FF"/>
    </w:rPr>
  </w:style>
  <w:style w:type="paragraph" w:styleId="TOC3">
    <w:name w:val="toc 3"/>
    <w:basedOn w:val="Normal"/>
    <w:next w:val="Normal"/>
    <w:autoRedefine/>
    <w:uiPriority w:val="39"/>
    <w:unhideWhenUsed/>
    <w:rsid w:val="00210E74"/>
    <w:pPr>
      <w:tabs>
        <w:tab w:val="left" w:pos="1260"/>
        <w:tab w:val="right" w:leader="dot" w:pos="9350"/>
      </w:tabs>
      <w:spacing w:after="100"/>
      <w:ind w:left="1267" w:right="576" w:hanging="547"/>
    </w:pPr>
    <w:rPr>
      <w:color w:val="3333FF"/>
    </w:rPr>
  </w:style>
  <w:style w:type="paragraph" w:styleId="TableofFigures">
    <w:name w:val="table of figures"/>
    <w:basedOn w:val="Normal"/>
    <w:next w:val="Normal"/>
    <w:uiPriority w:val="99"/>
    <w:unhideWhenUsed/>
    <w:rsid w:val="00210E74"/>
    <w:pPr>
      <w:tabs>
        <w:tab w:val="left" w:pos="1267"/>
        <w:tab w:val="right" w:leader="dot" w:pos="9350"/>
      </w:tabs>
      <w:ind w:left="540" w:right="576" w:hanging="540"/>
    </w:pPr>
    <w:rPr>
      <w:noProof/>
      <w:color w:val="3333FF"/>
    </w:rPr>
  </w:style>
  <w:style w:type="paragraph" w:styleId="TOC1">
    <w:name w:val="toc 1"/>
    <w:basedOn w:val="Normal"/>
    <w:next w:val="Normal"/>
    <w:autoRedefine/>
    <w:uiPriority w:val="39"/>
    <w:unhideWhenUsed/>
    <w:rsid w:val="00210E74"/>
    <w:pPr>
      <w:spacing w:after="100"/>
      <w:ind w:right="576"/>
    </w:pPr>
    <w:rPr>
      <w:color w:val="3333FF"/>
    </w:rPr>
  </w:style>
  <w:style w:type="paragraph" w:styleId="FootnoteText">
    <w:name w:val="footnote text"/>
    <w:basedOn w:val="Normal"/>
    <w:link w:val="FootnoteTextChar"/>
    <w:uiPriority w:val="99"/>
    <w:rsid w:val="00210E74"/>
    <w:pPr>
      <w:spacing w:after="240"/>
      <w:ind w:left="274" w:hanging="274"/>
    </w:pPr>
    <w:rPr>
      <w:sz w:val="20"/>
    </w:rPr>
  </w:style>
  <w:style w:type="character" w:customStyle="1" w:styleId="FootnoteTextChar">
    <w:name w:val="Footnote Text Char"/>
    <w:basedOn w:val="DefaultParagraphFont"/>
    <w:link w:val="FootnoteText"/>
    <w:uiPriority w:val="99"/>
    <w:rsid w:val="00210E74"/>
    <w:rPr>
      <w:rFonts w:ascii="Times New Roman" w:eastAsia="Times New Roman" w:hAnsi="Times New Roman" w:cs="Times New Roman"/>
      <w:sz w:val="20"/>
      <w:szCs w:val="20"/>
    </w:rPr>
  </w:style>
  <w:style w:type="character" w:styleId="FootnoteReference">
    <w:name w:val="footnote reference"/>
    <w:uiPriority w:val="99"/>
    <w:rsid w:val="00210E74"/>
    <w:rPr>
      <w:rFonts w:ascii="Times New Roman" w:hAnsi="Times New Roman"/>
      <w:b w:val="0"/>
      <w:i w:val="0"/>
      <w:color w:val="3333FF"/>
      <w:spacing w:val="0"/>
      <w:w w:val="100"/>
      <w:kern w:val="0"/>
      <w:position w:val="0"/>
      <w:sz w:val="24"/>
      <w:vertAlign w:val="superscript"/>
    </w:rPr>
  </w:style>
  <w:style w:type="table" w:styleId="TableGrid">
    <w:name w:val="Table Grid"/>
    <w:basedOn w:val="TableNormal"/>
    <w:uiPriority w:val="39"/>
    <w:rsid w:val="00210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0E74"/>
    <w:pPr>
      <w:spacing w:after="0" w:line="240" w:lineRule="auto"/>
    </w:pPr>
    <w:rPr>
      <w:rFonts w:eastAsiaTheme="minorEastAsia"/>
    </w:rPr>
  </w:style>
  <w:style w:type="character" w:styleId="Hyperlink">
    <w:name w:val="Hyperlink"/>
    <w:uiPriority w:val="99"/>
    <w:rsid w:val="00210E74"/>
    <w:rPr>
      <w:color w:val="3333FF"/>
      <w:u w:val="none"/>
    </w:rPr>
  </w:style>
  <w:style w:type="paragraph" w:styleId="Header">
    <w:name w:val="header"/>
    <w:basedOn w:val="Normal"/>
    <w:link w:val="HeaderChar"/>
    <w:uiPriority w:val="99"/>
    <w:unhideWhenUsed/>
    <w:rsid w:val="00210E74"/>
    <w:pPr>
      <w:tabs>
        <w:tab w:val="center" w:pos="4680"/>
        <w:tab w:val="right" w:pos="9360"/>
      </w:tabs>
    </w:pPr>
  </w:style>
  <w:style w:type="character" w:customStyle="1" w:styleId="HeaderChar">
    <w:name w:val="Header Char"/>
    <w:basedOn w:val="DefaultParagraphFont"/>
    <w:link w:val="Header"/>
    <w:uiPriority w:val="99"/>
    <w:rsid w:val="00210E74"/>
    <w:rPr>
      <w:rFonts w:ascii="Times New Roman" w:eastAsia="Times New Roman" w:hAnsi="Times New Roman" w:cs="Times New Roman"/>
      <w:sz w:val="24"/>
      <w:szCs w:val="20"/>
    </w:rPr>
  </w:style>
  <w:style w:type="paragraph" w:styleId="Footer">
    <w:name w:val="footer"/>
    <w:basedOn w:val="Normal"/>
    <w:link w:val="FooterChar"/>
    <w:uiPriority w:val="99"/>
    <w:rsid w:val="00210E74"/>
    <w:pPr>
      <w:tabs>
        <w:tab w:val="center" w:pos="4680"/>
        <w:tab w:val="right" w:pos="9360"/>
      </w:tabs>
      <w:jc w:val="center"/>
    </w:pPr>
    <w:rPr>
      <w:sz w:val="20"/>
    </w:rPr>
  </w:style>
  <w:style w:type="character" w:customStyle="1" w:styleId="FooterChar">
    <w:name w:val="Footer Char"/>
    <w:basedOn w:val="DefaultParagraphFont"/>
    <w:link w:val="Footer"/>
    <w:uiPriority w:val="99"/>
    <w:rsid w:val="00210E7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10E74"/>
    <w:rPr>
      <w:sz w:val="20"/>
    </w:rPr>
  </w:style>
  <w:style w:type="character" w:customStyle="1" w:styleId="EndnoteTextChar">
    <w:name w:val="Endnote Text Char"/>
    <w:basedOn w:val="DefaultParagraphFont"/>
    <w:link w:val="EndnoteText"/>
    <w:uiPriority w:val="99"/>
    <w:semiHidden/>
    <w:rsid w:val="00210E7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10E74"/>
    <w:rPr>
      <w:vertAlign w:val="superscript"/>
    </w:rPr>
  </w:style>
  <w:style w:type="paragraph" w:customStyle="1" w:styleId="cover-date">
    <w:name w:val="cover-date"/>
    <w:basedOn w:val="Basetext"/>
    <w:link w:val="cover-dateChar"/>
    <w:rsid w:val="00210E74"/>
    <w:pPr>
      <w:spacing w:before="240" w:after="720"/>
      <w:jc w:val="right"/>
    </w:pPr>
    <w:rPr>
      <w:rFonts w:ascii="Arial" w:hAnsi="Arial"/>
      <w:b/>
      <w:sz w:val="28"/>
    </w:rPr>
  </w:style>
  <w:style w:type="character" w:customStyle="1" w:styleId="cover-dateChar">
    <w:name w:val="cover-date Char"/>
    <w:link w:val="cover-date"/>
    <w:locked/>
    <w:rsid w:val="00210E74"/>
    <w:rPr>
      <w:rFonts w:ascii="Arial" w:eastAsia="SimSun" w:hAnsi="Arial" w:cs="Times New Roman"/>
      <w:b/>
      <w:sz w:val="28"/>
      <w:lang w:eastAsia="zh-CN"/>
    </w:rPr>
  </w:style>
  <w:style w:type="paragraph" w:customStyle="1" w:styleId="cover-address">
    <w:name w:val="cover-address"/>
    <w:basedOn w:val="Basetext"/>
    <w:rsid w:val="00210E74"/>
    <w:pPr>
      <w:jc w:val="right"/>
    </w:pPr>
    <w:rPr>
      <w:rFonts w:ascii="Arial" w:hAnsi="Arial"/>
    </w:rPr>
  </w:style>
  <w:style w:type="paragraph" w:customStyle="1" w:styleId="cover-author">
    <w:name w:val="cover-author"/>
    <w:basedOn w:val="Basetext"/>
    <w:rsid w:val="00210E74"/>
    <w:pPr>
      <w:spacing w:before="240"/>
      <w:contextualSpacing/>
      <w:jc w:val="right"/>
    </w:pPr>
    <w:rPr>
      <w:rFonts w:ascii="Arial" w:hAnsi="Arial"/>
      <w:b/>
    </w:rPr>
  </w:style>
  <w:style w:type="paragraph" w:customStyle="1" w:styleId="cover-text">
    <w:name w:val="cover-text"/>
    <w:basedOn w:val="Basetext"/>
    <w:rsid w:val="00210E74"/>
    <w:pPr>
      <w:spacing w:before="480" w:after="240"/>
      <w:jc w:val="right"/>
    </w:pPr>
    <w:rPr>
      <w:rFonts w:ascii="Arial" w:hAnsi="Arial"/>
    </w:rPr>
  </w:style>
  <w:style w:type="paragraph" w:customStyle="1" w:styleId="cover-title">
    <w:name w:val="cover-title"/>
    <w:basedOn w:val="Baseheading"/>
    <w:rsid w:val="00210E74"/>
    <w:pPr>
      <w:spacing w:after="2400"/>
      <w:jc w:val="right"/>
    </w:pPr>
    <w:rPr>
      <w:rFonts w:ascii="Arial Bold" w:hAnsi="Arial Bold"/>
      <w:sz w:val="44"/>
    </w:rPr>
  </w:style>
  <w:style w:type="paragraph" w:customStyle="1" w:styleId="disclaimer-text">
    <w:name w:val="disclaimer-text"/>
    <w:basedOn w:val="Basetext"/>
    <w:rsid w:val="00210E74"/>
    <w:pPr>
      <w:spacing w:before="2640"/>
      <w:jc w:val="both"/>
    </w:pPr>
  </w:style>
  <w:style w:type="paragraph" w:customStyle="1" w:styleId="bullets">
    <w:name w:val="bullets"/>
    <w:basedOn w:val="Basetext"/>
    <w:rsid w:val="00210E74"/>
    <w:pPr>
      <w:numPr>
        <w:numId w:val="12"/>
      </w:numPr>
      <w:spacing w:after="240"/>
    </w:pPr>
  </w:style>
  <w:style w:type="paragraph" w:styleId="TOCHeading">
    <w:name w:val="TOC Heading"/>
    <w:basedOn w:val="Baseheading"/>
    <w:next w:val="Normal"/>
    <w:uiPriority w:val="39"/>
    <w:qFormat/>
    <w:rsid w:val="00210E74"/>
    <w:pPr>
      <w:jc w:val="center"/>
      <w:outlineLvl w:val="9"/>
    </w:pPr>
    <w:rPr>
      <w:rFonts w:ascii="Times New Roman Bold" w:eastAsia="Times New Roman" w:hAnsi="Times New Roman Bold"/>
      <w:bCs/>
      <w:caps/>
      <w:kern w:val="32"/>
      <w:szCs w:val="32"/>
    </w:rPr>
  </w:style>
  <w:style w:type="paragraph" w:customStyle="1" w:styleId="numbers">
    <w:name w:val="numbers"/>
    <w:basedOn w:val="Basetext"/>
    <w:rsid w:val="00210E74"/>
    <w:pPr>
      <w:spacing w:after="120"/>
      <w:ind w:left="1080" w:hanging="360"/>
    </w:pPr>
  </w:style>
  <w:style w:type="paragraph" w:customStyle="1" w:styleId="table-headers">
    <w:name w:val="table-headers"/>
    <w:basedOn w:val="Basetext"/>
    <w:link w:val="table-headersChar"/>
    <w:qFormat/>
    <w:rsid w:val="00210E74"/>
    <w:pPr>
      <w:keepNext/>
      <w:spacing w:before="80" w:after="80"/>
      <w:jc w:val="center"/>
    </w:pPr>
    <w:rPr>
      <w:b/>
      <w:snapToGrid w:val="0"/>
      <w:sz w:val="20"/>
    </w:rPr>
  </w:style>
  <w:style w:type="character" w:customStyle="1" w:styleId="table-headersChar">
    <w:name w:val="table-headers Char"/>
    <w:link w:val="table-headers"/>
    <w:locked/>
    <w:rsid w:val="00210E74"/>
    <w:rPr>
      <w:rFonts w:ascii="Times New Roman" w:eastAsia="SimSun" w:hAnsi="Times New Roman" w:cs="Times New Roman"/>
      <w:b/>
      <w:snapToGrid w:val="0"/>
      <w:sz w:val="20"/>
      <w:lang w:eastAsia="zh-CN"/>
    </w:rPr>
  </w:style>
  <w:style w:type="paragraph" w:customStyle="1" w:styleId="table-text">
    <w:name w:val="table-text"/>
    <w:basedOn w:val="Basetext"/>
    <w:rsid w:val="00210E74"/>
    <w:pPr>
      <w:spacing w:before="40" w:after="40"/>
    </w:pPr>
    <w:rPr>
      <w:sz w:val="20"/>
    </w:rPr>
  </w:style>
  <w:style w:type="paragraph" w:customStyle="1" w:styleId="table-textindent">
    <w:name w:val="table-text_indent"/>
    <w:basedOn w:val="Basetext"/>
    <w:qFormat/>
    <w:rsid w:val="00210E74"/>
    <w:pPr>
      <w:spacing w:before="40" w:after="40"/>
      <w:ind w:left="216"/>
    </w:pPr>
    <w:rPr>
      <w:snapToGrid w:val="0"/>
      <w:sz w:val="20"/>
    </w:rPr>
  </w:style>
  <w:style w:type="paragraph" w:customStyle="1" w:styleId="table-title">
    <w:name w:val="table-title"/>
    <w:basedOn w:val="Basetext"/>
    <w:rsid w:val="00210E74"/>
    <w:pPr>
      <w:keepNext/>
      <w:keepLines/>
      <w:spacing w:before="240" w:after="240"/>
      <w:ind w:left="1080" w:hanging="1080"/>
    </w:pPr>
    <w:rPr>
      <w:b/>
      <w:sz w:val="24"/>
    </w:rPr>
  </w:style>
  <w:style w:type="paragraph" w:customStyle="1" w:styleId="app-heading1">
    <w:name w:val="app-heading_1"/>
    <w:basedOn w:val="Baseheading"/>
    <w:rsid w:val="00210E74"/>
    <w:pPr>
      <w:jc w:val="center"/>
      <w:outlineLvl w:val="1"/>
    </w:pPr>
    <w:rPr>
      <w:rFonts w:ascii="Times New Roman Bold" w:hAnsi="Times New Roman Bold"/>
      <w:caps/>
    </w:rPr>
  </w:style>
  <w:style w:type="paragraph" w:customStyle="1" w:styleId="app-heading2">
    <w:name w:val="app-heading_2"/>
    <w:basedOn w:val="Baseheading"/>
    <w:rsid w:val="00210E74"/>
    <w:pPr>
      <w:outlineLvl w:val="2"/>
    </w:pPr>
    <w:rPr>
      <w:i/>
      <w:sz w:val="22"/>
    </w:rPr>
  </w:style>
  <w:style w:type="paragraph" w:customStyle="1" w:styleId="table-continued">
    <w:name w:val="table-continued"/>
    <w:basedOn w:val="Basetext"/>
    <w:rsid w:val="00210E74"/>
    <w:pPr>
      <w:jc w:val="right"/>
    </w:pPr>
    <w:rPr>
      <w:sz w:val="20"/>
    </w:rPr>
  </w:style>
  <w:style w:type="paragraph" w:customStyle="1" w:styleId="table-titlecontinued">
    <w:name w:val="table-title_continued"/>
    <w:basedOn w:val="Basetext"/>
    <w:rsid w:val="00210E74"/>
    <w:pPr>
      <w:keepNext/>
      <w:keepLines/>
      <w:spacing w:after="240"/>
      <w:ind w:left="1080" w:hanging="1080"/>
    </w:pPr>
    <w:rPr>
      <w:b/>
      <w:sz w:val="24"/>
    </w:rPr>
  </w:style>
  <w:style w:type="paragraph" w:customStyle="1" w:styleId="titlepage-title">
    <w:name w:val="titlepage-title"/>
    <w:basedOn w:val="Basetext"/>
    <w:next w:val="Normal"/>
    <w:rsid w:val="00210E74"/>
    <w:pPr>
      <w:spacing w:before="1560" w:after="240"/>
      <w:jc w:val="center"/>
    </w:pPr>
    <w:rPr>
      <w:caps/>
      <w:szCs w:val="24"/>
    </w:rPr>
  </w:style>
  <w:style w:type="paragraph" w:customStyle="1" w:styleId="body-textcontinued">
    <w:name w:val="body-text_continued"/>
    <w:basedOn w:val="Basetext"/>
    <w:rsid w:val="00210E74"/>
    <w:pPr>
      <w:spacing w:after="240"/>
    </w:pPr>
  </w:style>
  <w:style w:type="paragraph" w:customStyle="1" w:styleId="table-sourcestd">
    <w:name w:val="table-source_std"/>
    <w:basedOn w:val="Basetext"/>
    <w:rsid w:val="00210E74"/>
    <w:pPr>
      <w:keepLines/>
      <w:spacing w:before="120" w:after="240"/>
    </w:pPr>
  </w:style>
  <w:style w:type="paragraph" w:customStyle="1" w:styleId="titlepage-text">
    <w:name w:val="titlepage-text"/>
    <w:basedOn w:val="Basetext"/>
    <w:rsid w:val="00210E74"/>
    <w:pPr>
      <w:spacing w:before="240" w:after="240"/>
      <w:jc w:val="center"/>
    </w:pPr>
  </w:style>
  <w:style w:type="paragraph" w:customStyle="1" w:styleId="titlepage-project-no">
    <w:name w:val="titlepage-project-no"/>
    <w:basedOn w:val="Basetext"/>
    <w:rsid w:val="00210E74"/>
    <w:pPr>
      <w:spacing w:before="1200" w:after="240"/>
      <w:jc w:val="center"/>
    </w:pPr>
  </w:style>
  <w:style w:type="paragraph" w:styleId="BalloonText">
    <w:name w:val="Balloon Text"/>
    <w:basedOn w:val="Normal"/>
    <w:link w:val="BalloonTextChar"/>
    <w:uiPriority w:val="99"/>
    <w:semiHidden/>
    <w:unhideWhenUsed/>
    <w:rsid w:val="00210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7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270FEF"/>
    <w:rPr>
      <w:b/>
      <w:bCs/>
    </w:rPr>
  </w:style>
  <w:style w:type="character" w:customStyle="1" w:styleId="CommentSubjectChar">
    <w:name w:val="Comment Subject Char"/>
    <w:basedOn w:val="CommentTextChar"/>
    <w:link w:val="CommentSubject"/>
    <w:uiPriority w:val="99"/>
    <w:semiHidden/>
    <w:rsid w:val="00270F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6A970-294D-4E5B-B4C5-46AFDF9A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Yarnell, Sara</dc:creator>
  <cp:keywords/>
  <dc:description/>
  <cp:lastModifiedBy>Hendershott, Amy</cp:lastModifiedBy>
  <cp:revision>4</cp:revision>
  <dcterms:created xsi:type="dcterms:W3CDTF">2022-03-31T18:58:00Z</dcterms:created>
  <dcterms:modified xsi:type="dcterms:W3CDTF">2022-03-31T22:04:00Z</dcterms:modified>
</cp:coreProperties>
</file>